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46" w:rsidRDefault="00A92246">
      <w:proofErr w:type="gramStart"/>
      <w:r>
        <w:t>Noticias</w:t>
      </w:r>
      <w:proofErr w:type="gramEnd"/>
      <w:r>
        <w:t xml:space="preserve"> retiradas do</w:t>
      </w:r>
      <w:r w:rsidR="008B7413">
        <w:t xml:space="preserve"> </w:t>
      </w:r>
      <w:proofErr w:type="spellStart"/>
      <w:r w:rsidR="008B7413">
        <w:t>Safety</w:t>
      </w:r>
      <w:proofErr w:type="spellEnd"/>
      <w:r w:rsidR="008B7413">
        <w:t xml:space="preserve"> Net 380, 21 de setembro de 2016</w:t>
      </w:r>
      <w:r>
        <w:t xml:space="preserve"> </w:t>
      </w:r>
    </w:p>
    <w:p w:rsidR="00A92246" w:rsidRDefault="00A92246">
      <w:r>
        <w:t xml:space="preserve">A lista </w:t>
      </w:r>
      <w:proofErr w:type="spellStart"/>
      <w:r>
        <w:t>incui</w:t>
      </w:r>
      <w:proofErr w:type="spellEnd"/>
      <w:r>
        <w:t>:</w:t>
      </w:r>
    </w:p>
    <w:p w:rsidR="00A92246" w:rsidRDefault="008B7413" w:rsidP="006713BD">
      <w:pPr>
        <w:pStyle w:val="PargrafodaLista"/>
        <w:numPr>
          <w:ilvl w:val="0"/>
          <w:numId w:val="1"/>
        </w:numPr>
      </w:pPr>
      <w:r>
        <w:t>Guia de prevenção de canceres ocupacionais para bombeiros</w:t>
      </w:r>
    </w:p>
    <w:p w:rsidR="00A92246" w:rsidRDefault="008B7413" w:rsidP="006713BD">
      <w:pPr>
        <w:pStyle w:val="PargrafodaLista"/>
        <w:numPr>
          <w:ilvl w:val="0"/>
          <w:numId w:val="1"/>
        </w:numPr>
      </w:pPr>
      <w:r>
        <w:t>Nova tragédia em Bangladesh mata 31 trabalhadores.</w:t>
      </w:r>
    </w:p>
    <w:p w:rsidR="008B7413" w:rsidRDefault="008B7413" w:rsidP="006713BD">
      <w:pPr>
        <w:pStyle w:val="PargrafodaLista"/>
        <w:numPr>
          <w:ilvl w:val="0"/>
          <w:numId w:val="1"/>
        </w:numPr>
      </w:pPr>
      <w:r>
        <w:t>Mulheres que trabalham na saúde tem</w:t>
      </w:r>
      <w:proofErr w:type="gramStart"/>
      <w:r>
        <w:t xml:space="preserve">  </w:t>
      </w:r>
      <w:proofErr w:type="gramEnd"/>
      <w:r>
        <w:t xml:space="preserve">risco de suicídio maior </w:t>
      </w:r>
    </w:p>
    <w:p w:rsidR="008B7413" w:rsidRDefault="008B7413" w:rsidP="006713BD">
      <w:pPr>
        <w:pStyle w:val="PargrafodaLista"/>
        <w:numPr>
          <w:ilvl w:val="0"/>
          <w:numId w:val="1"/>
        </w:numPr>
      </w:pPr>
      <w:r>
        <w:t>Estatísticas de mortalidade por aciden</w:t>
      </w:r>
      <w:r w:rsidR="00BA1F06">
        <w:t>tes. Australianos reclamam que dados estão atrasados (os últimos dados são de abril de 2016!</w:t>
      </w:r>
      <w:proofErr w:type="gramStart"/>
      <w:r w:rsidR="00BA1F06">
        <w:t>)</w:t>
      </w:r>
      <w:proofErr w:type="gramEnd"/>
      <w:r w:rsidR="00BA1F06">
        <w:t xml:space="preserve"> </w:t>
      </w:r>
    </w:p>
    <w:p w:rsidR="006713BD" w:rsidRDefault="006713BD" w:rsidP="006713BD">
      <w:pPr>
        <w:pStyle w:val="PargrafodaLista"/>
        <w:numPr>
          <w:ilvl w:val="0"/>
          <w:numId w:val="1"/>
        </w:numPr>
      </w:pPr>
      <w:r>
        <w:t>Indústrias químicas defendem seus produtos tóxicos</w:t>
      </w:r>
    </w:p>
    <w:p w:rsidR="009D39F5" w:rsidRDefault="009D39F5"/>
    <w:p w:rsidR="00A92246" w:rsidRDefault="00A92246">
      <w:bookmarkStart w:id="0" w:name="_GoBack"/>
      <w:bookmarkEnd w:id="0"/>
    </w:p>
    <w:p w:rsidR="00A92246" w:rsidRDefault="00A92246">
      <w:pPr>
        <w:rPr>
          <w:rStyle w:val="Forte"/>
          <w:rFonts w:ascii="Verdana" w:hAnsi="Verdana"/>
          <w:color w:val="393A3A"/>
          <w:sz w:val="18"/>
          <w:szCs w:val="18"/>
          <w:lang w:val="en-GB"/>
        </w:rPr>
      </w:pPr>
      <w:r w:rsidRPr="00A92246">
        <w:rPr>
          <w:rStyle w:val="Forte"/>
          <w:rFonts w:ascii="Verdana" w:hAnsi="Verdana"/>
          <w:color w:val="393A3A"/>
          <w:sz w:val="18"/>
          <w:szCs w:val="18"/>
          <w:lang w:val="en-GB"/>
        </w:rPr>
        <w:t xml:space="preserve">UK: Firefighters' guide to occupational cancer prevention </w:t>
      </w:r>
    </w:p>
    <w:p w:rsidR="00A92246" w:rsidRDefault="00A92246">
      <w:pPr>
        <w:rPr>
          <w:rStyle w:val="nfase"/>
          <w:rFonts w:ascii="Verdana" w:hAnsi="Verdana"/>
          <w:color w:val="393A3A"/>
          <w:sz w:val="18"/>
          <w:szCs w:val="18"/>
        </w:rPr>
      </w:pPr>
      <w:r w:rsidRPr="00A92246">
        <w:rPr>
          <w:rFonts w:ascii="Verdana" w:hAnsi="Verdana"/>
          <w:color w:val="393A3A"/>
          <w:sz w:val="18"/>
          <w:szCs w:val="18"/>
          <w:lang w:val="en-GB"/>
        </w:rPr>
        <w:t>The UK firefighters' union FBU says occupational cancer is a 'serious threat' for firefighters. In response, the union has produced an initial guidance document which highlights the basic principles to follow to prevent unnecessary contamination with smoke, fumes, chemicals and other hazardous substances before, during and after incidents. The union says FBU officials will be asked to raise these issues with management and at health and safety committee meetings. It adds that some fire and rescue authorities have already taken steps to address the problem, but says 'our aim is that it will soon be on the agenda in every brigade.' The union says its publication, which includes a 10-point action plan, is only initial advice. "The FBU is looking at medium and longer term options," it notes. "As a member you can start to make a difference today by adopting the principles suggested in this document."</w:t>
      </w:r>
      <w:r w:rsidRPr="00A92246">
        <w:rPr>
          <w:rFonts w:ascii="Verdana" w:hAnsi="Verdana"/>
          <w:color w:val="393A3A"/>
          <w:sz w:val="18"/>
          <w:szCs w:val="18"/>
          <w:lang w:val="en-GB"/>
        </w:rPr>
        <w:br/>
      </w:r>
      <w:r w:rsidRPr="00A92246">
        <w:rPr>
          <w:rStyle w:val="nfase"/>
          <w:rFonts w:ascii="Verdana" w:hAnsi="Verdana"/>
          <w:color w:val="393A3A"/>
          <w:sz w:val="18"/>
          <w:szCs w:val="18"/>
          <w:lang w:val="en-GB"/>
        </w:rPr>
        <w:t xml:space="preserve">Read more: </w:t>
      </w:r>
      <w:hyperlink r:id="rId6" w:tgtFrame="_blank" w:history="1">
        <w:r w:rsidRPr="00A92246">
          <w:rPr>
            <w:rStyle w:val="Hyperlink"/>
            <w:rFonts w:ascii="Verdana" w:hAnsi="Verdana"/>
            <w:i/>
            <w:iCs/>
            <w:sz w:val="18"/>
            <w:szCs w:val="18"/>
            <w:lang w:val="en-GB"/>
          </w:rPr>
          <w:t>FBU publication notice</w:t>
        </w:r>
      </w:hyperlink>
      <w:r w:rsidRPr="00A92246">
        <w:rPr>
          <w:rStyle w:val="nfase"/>
          <w:rFonts w:ascii="Verdana" w:hAnsi="Verdana"/>
          <w:color w:val="393A3A"/>
          <w:sz w:val="18"/>
          <w:szCs w:val="18"/>
          <w:lang w:val="en-GB"/>
        </w:rPr>
        <w:t xml:space="preserve"> and initial guidance, </w:t>
      </w:r>
      <w:hyperlink r:id="rId7" w:tgtFrame="_blank" w:history="1">
        <w:r w:rsidRPr="00A92246">
          <w:rPr>
            <w:rStyle w:val="Hyperlink"/>
            <w:rFonts w:ascii="Verdana" w:hAnsi="Verdana"/>
            <w:i/>
            <w:iCs/>
            <w:sz w:val="18"/>
            <w:szCs w:val="18"/>
            <w:lang w:val="en-GB"/>
          </w:rPr>
          <w:t>Contaminants – protection against cancer</w:t>
        </w:r>
      </w:hyperlink>
      <w:r w:rsidRPr="00A92246">
        <w:rPr>
          <w:rStyle w:val="nfase"/>
          <w:rFonts w:ascii="Verdana" w:hAnsi="Verdana"/>
          <w:color w:val="393A3A"/>
          <w:sz w:val="18"/>
          <w:szCs w:val="18"/>
          <w:lang w:val="en-GB"/>
        </w:rPr>
        <w:t xml:space="preserve">. </w:t>
      </w:r>
      <w:proofErr w:type="spellStart"/>
      <w:r>
        <w:rPr>
          <w:rStyle w:val="nfase"/>
          <w:rFonts w:ascii="Verdana" w:hAnsi="Verdana"/>
          <w:color w:val="393A3A"/>
          <w:sz w:val="18"/>
          <w:szCs w:val="18"/>
        </w:rPr>
        <w:t>Source</w:t>
      </w:r>
      <w:proofErr w:type="spellEnd"/>
      <w:r>
        <w:rPr>
          <w:rStyle w:val="nfase"/>
          <w:rFonts w:ascii="Verdana" w:hAnsi="Verdana"/>
          <w:color w:val="393A3A"/>
          <w:sz w:val="18"/>
          <w:szCs w:val="18"/>
        </w:rPr>
        <w:t xml:space="preserve">: </w:t>
      </w:r>
      <w:proofErr w:type="spellStart"/>
      <w:r>
        <w:rPr>
          <w:rStyle w:val="nfase"/>
          <w:rFonts w:ascii="Verdana" w:hAnsi="Verdana"/>
          <w:color w:val="393A3A"/>
          <w:sz w:val="18"/>
          <w:szCs w:val="18"/>
        </w:rPr>
        <w:t>Risks</w:t>
      </w:r>
      <w:proofErr w:type="spellEnd"/>
      <w:r>
        <w:rPr>
          <w:rStyle w:val="nfase"/>
          <w:rFonts w:ascii="Verdana" w:hAnsi="Verdana"/>
          <w:color w:val="393A3A"/>
          <w:sz w:val="18"/>
          <w:szCs w:val="18"/>
        </w:rPr>
        <w:t xml:space="preserve"> 768</w:t>
      </w:r>
    </w:p>
    <w:p w:rsidR="00A92246" w:rsidRDefault="00A92246">
      <w:pPr>
        <w:rPr>
          <w:rStyle w:val="nfase"/>
          <w:rFonts w:ascii="Verdana" w:hAnsi="Verdana"/>
          <w:color w:val="393A3A"/>
          <w:sz w:val="18"/>
          <w:szCs w:val="18"/>
        </w:rPr>
      </w:pPr>
    </w:p>
    <w:p w:rsidR="00A92246" w:rsidRDefault="00A92246" w:rsidP="00A92246">
      <w:pPr>
        <w:pStyle w:val="NormalWeb"/>
        <w:rPr>
          <w:rStyle w:val="Forte"/>
          <w:rFonts w:ascii="Verdana" w:hAnsi="Verdana"/>
          <w:color w:val="393A3A"/>
          <w:sz w:val="18"/>
          <w:szCs w:val="18"/>
          <w:lang w:val="en-GB"/>
        </w:rPr>
      </w:pPr>
      <w:r w:rsidRPr="00A92246">
        <w:rPr>
          <w:rStyle w:val="Forte"/>
          <w:rFonts w:ascii="Verdana" w:hAnsi="Verdana"/>
          <w:color w:val="393A3A"/>
          <w:sz w:val="18"/>
          <w:szCs w:val="18"/>
          <w:lang w:val="en-GB"/>
        </w:rPr>
        <w:t xml:space="preserve">Bangladesh: Government and brands share factory deaths blame </w:t>
      </w:r>
    </w:p>
    <w:p w:rsidR="00A92246" w:rsidRDefault="00A92246" w:rsidP="00A92246">
      <w:pPr>
        <w:pStyle w:val="NormalWeb"/>
        <w:rPr>
          <w:rFonts w:ascii="Verdana" w:hAnsi="Verdana"/>
          <w:color w:val="393A3A"/>
          <w:sz w:val="18"/>
          <w:szCs w:val="18"/>
          <w:lang w:val="en-GB"/>
        </w:rPr>
      </w:pPr>
      <w:r w:rsidRPr="00A92246">
        <w:rPr>
          <w:rFonts w:ascii="Verdana" w:hAnsi="Verdana"/>
          <w:color w:val="393A3A"/>
          <w:sz w:val="18"/>
          <w:szCs w:val="18"/>
          <w:lang w:val="en-GB"/>
        </w:rPr>
        <w:t xml:space="preserve">The deaths of at least 31 workers in a 10 September fire at the </w:t>
      </w:r>
      <w:proofErr w:type="spellStart"/>
      <w:r w:rsidRPr="00A92246">
        <w:rPr>
          <w:rFonts w:ascii="Verdana" w:hAnsi="Verdana"/>
          <w:color w:val="393A3A"/>
          <w:sz w:val="18"/>
          <w:szCs w:val="18"/>
          <w:lang w:val="en-GB"/>
        </w:rPr>
        <w:t>Tampoco</w:t>
      </w:r>
      <w:proofErr w:type="spellEnd"/>
      <w:r w:rsidRPr="00A92246">
        <w:rPr>
          <w:rFonts w:ascii="Verdana" w:hAnsi="Verdana"/>
          <w:color w:val="393A3A"/>
          <w:sz w:val="18"/>
          <w:szCs w:val="18"/>
          <w:lang w:val="en-GB"/>
        </w:rPr>
        <w:t xml:space="preserve"> Foil factory in Bangladesh shows the 'callous disregard' of the Bangladesh government for workers' safety, the global union confederation ITUC has charged. It added that also to blame for the tragedy was the failure of multinational companies doing business with the factory to take responsibility for the lives of workers in their supply chains. The workers died when a boiler exploded in the factory building, an old structure to which extra floors had been added, spreading fire and eventually causing the building to collapse. The cramped building, full of flammable materials, was entirely unsuitable for a factory, and according to information received by the ITUC, had only one working exit. Factory owner Syed </w:t>
      </w:r>
      <w:proofErr w:type="spellStart"/>
      <w:r w:rsidRPr="00A92246">
        <w:rPr>
          <w:rFonts w:ascii="Verdana" w:hAnsi="Verdana"/>
          <w:color w:val="393A3A"/>
          <w:sz w:val="18"/>
          <w:szCs w:val="18"/>
          <w:lang w:val="en-GB"/>
        </w:rPr>
        <w:t>Mokbul</w:t>
      </w:r>
      <w:proofErr w:type="spellEnd"/>
      <w:r w:rsidRPr="00A92246">
        <w:rPr>
          <w:rFonts w:ascii="Verdana" w:hAnsi="Verdana"/>
          <w:color w:val="393A3A"/>
          <w:sz w:val="18"/>
          <w:szCs w:val="18"/>
          <w:lang w:val="en-GB"/>
        </w:rPr>
        <w:t xml:space="preserve"> Hussain, a former member of parliament, is being sued by the parents of one of the deceased, for culpable homicide. Major multinational companies, including British American Tobacco, </w:t>
      </w:r>
      <w:proofErr w:type="spellStart"/>
      <w:r w:rsidRPr="00A92246">
        <w:rPr>
          <w:rFonts w:ascii="Verdana" w:hAnsi="Verdana"/>
          <w:color w:val="393A3A"/>
          <w:sz w:val="18"/>
          <w:szCs w:val="18"/>
          <w:lang w:val="en-GB"/>
        </w:rPr>
        <w:t>Mondelez</w:t>
      </w:r>
      <w:proofErr w:type="spellEnd"/>
      <w:r w:rsidRPr="00A92246">
        <w:rPr>
          <w:rFonts w:ascii="Verdana" w:hAnsi="Verdana"/>
          <w:color w:val="393A3A"/>
          <w:sz w:val="18"/>
          <w:szCs w:val="18"/>
          <w:lang w:val="en-GB"/>
        </w:rPr>
        <w:t xml:space="preserve"> and Nestlé have been publicly named as using the factory in their supply chains. </w:t>
      </w:r>
      <w:proofErr w:type="spellStart"/>
      <w:r w:rsidRPr="00A92246">
        <w:rPr>
          <w:rFonts w:ascii="Verdana" w:hAnsi="Verdana"/>
          <w:color w:val="393A3A"/>
          <w:sz w:val="18"/>
          <w:szCs w:val="18"/>
          <w:lang w:val="en-GB"/>
        </w:rPr>
        <w:t>Sharan</w:t>
      </w:r>
      <w:proofErr w:type="spellEnd"/>
      <w:r w:rsidRPr="00A92246">
        <w:rPr>
          <w:rFonts w:ascii="Verdana" w:hAnsi="Verdana"/>
          <w:color w:val="393A3A"/>
          <w:sz w:val="18"/>
          <w:szCs w:val="18"/>
          <w:lang w:val="en-GB"/>
        </w:rPr>
        <w:t xml:space="preserve"> Burrow, ITUC general secretary, said: "These global brands all claim to have strict supplier standards to protect workers from just this kind of tragedy. When companies make bogus claims to regulators and shareholders there are real sanctions, but when it comes to protecting workers' lives there are no legal consequences." She added: "There is no substitute for the rule of law; however, even the most basic right for workers to form unions to protect their rights and safety is routinely suppressed by the Bangladesh government. Yet again, the need for legal accountability and compliance across global supply chains is evident </w:t>
      </w:r>
      <w:r w:rsidRPr="00A92246">
        <w:rPr>
          <w:rFonts w:ascii="Verdana" w:hAnsi="Verdana"/>
          <w:color w:val="393A3A"/>
          <w:sz w:val="18"/>
          <w:szCs w:val="18"/>
          <w:lang w:val="en-GB"/>
        </w:rPr>
        <w:lastRenderedPageBreak/>
        <w:t xml:space="preserve">and we call on governments, starting with the G20, to make this a reality as a matter of urgency." </w:t>
      </w:r>
    </w:p>
    <w:p w:rsidR="00A92246" w:rsidRPr="00A92246" w:rsidRDefault="00A92246" w:rsidP="00A92246">
      <w:pPr>
        <w:pStyle w:val="NormalWeb"/>
        <w:rPr>
          <w:rFonts w:ascii="Verdana" w:hAnsi="Verdana"/>
          <w:color w:val="393A3A"/>
          <w:sz w:val="18"/>
          <w:szCs w:val="18"/>
          <w:lang w:val="en-GB"/>
        </w:rPr>
      </w:pPr>
      <w:r w:rsidRPr="00A92246">
        <w:rPr>
          <w:rStyle w:val="nfase"/>
          <w:rFonts w:ascii="Verdana" w:hAnsi="Verdana"/>
          <w:color w:val="393A3A"/>
          <w:sz w:val="18"/>
          <w:szCs w:val="18"/>
          <w:lang w:val="en-GB"/>
        </w:rPr>
        <w:t xml:space="preserve">Read more: ITUC </w:t>
      </w:r>
      <w:hyperlink r:id="rId8" w:tgtFrame="_blank" w:history="1">
        <w:r w:rsidRPr="00A92246">
          <w:rPr>
            <w:rStyle w:val="Hyperlink"/>
            <w:rFonts w:ascii="Verdana" w:hAnsi="Verdana"/>
            <w:i/>
            <w:iCs/>
            <w:sz w:val="18"/>
            <w:szCs w:val="18"/>
            <w:lang w:val="en-GB"/>
          </w:rPr>
          <w:t>news release</w:t>
        </w:r>
      </w:hyperlink>
      <w:r w:rsidRPr="00A92246">
        <w:rPr>
          <w:rStyle w:val="nfase"/>
          <w:rFonts w:ascii="Verdana" w:hAnsi="Verdana"/>
          <w:color w:val="393A3A"/>
          <w:sz w:val="18"/>
          <w:szCs w:val="18"/>
          <w:lang w:val="en-GB"/>
        </w:rPr>
        <w:t xml:space="preserve">. </w:t>
      </w:r>
      <w:proofErr w:type="spellStart"/>
      <w:proofErr w:type="gramStart"/>
      <w:r w:rsidRPr="00A92246">
        <w:rPr>
          <w:rStyle w:val="nfase"/>
          <w:rFonts w:ascii="Verdana" w:hAnsi="Verdana"/>
          <w:color w:val="393A3A"/>
          <w:sz w:val="18"/>
          <w:szCs w:val="18"/>
          <w:lang w:val="en-GB"/>
        </w:rPr>
        <w:t>IndustriALL</w:t>
      </w:r>
      <w:proofErr w:type="spellEnd"/>
      <w:r w:rsidRPr="00A92246">
        <w:rPr>
          <w:rStyle w:val="nfase"/>
          <w:rFonts w:ascii="Verdana" w:hAnsi="Verdana"/>
          <w:color w:val="393A3A"/>
          <w:sz w:val="18"/>
          <w:szCs w:val="18"/>
          <w:lang w:val="en-GB"/>
        </w:rPr>
        <w:t xml:space="preserve"> </w:t>
      </w:r>
      <w:hyperlink r:id="rId9" w:tgtFrame="_blank" w:history="1">
        <w:r w:rsidRPr="00A92246">
          <w:rPr>
            <w:rStyle w:val="Hyperlink"/>
            <w:rFonts w:ascii="Verdana" w:hAnsi="Verdana"/>
            <w:i/>
            <w:iCs/>
            <w:sz w:val="18"/>
            <w:szCs w:val="18"/>
            <w:lang w:val="en-GB"/>
          </w:rPr>
          <w:t>news release</w:t>
        </w:r>
      </w:hyperlink>
      <w:r w:rsidRPr="00A92246">
        <w:rPr>
          <w:rStyle w:val="nfase"/>
          <w:rFonts w:ascii="Verdana" w:hAnsi="Verdana"/>
          <w:color w:val="393A3A"/>
          <w:sz w:val="18"/>
          <w:szCs w:val="18"/>
          <w:lang w:val="en-GB"/>
        </w:rPr>
        <w:t>.</w:t>
      </w:r>
      <w:proofErr w:type="gramEnd"/>
      <w:r w:rsidRPr="00A92246">
        <w:rPr>
          <w:rStyle w:val="nfase"/>
          <w:rFonts w:ascii="Verdana" w:hAnsi="Verdana"/>
          <w:color w:val="393A3A"/>
          <w:sz w:val="18"/>
          <w:szCs w:val="18"/>
          <w:lang w:val="en-GB"/>
        </w:rPr>
        <w:t xml:space="preserve"> Source: Risks 768</w:t>
      </w:r>
    </w:p>
    <w:p w:rsidR="00A92246" w:rsidRDefault="00A92246">
      <w:pPr>
        <w:rPr>
          <w:lang w:val="en-GB"/>
        </w:rPr>
      </w:pPr>
    </w:p>
    <w:p w:rsidR="00A92246" w:rsidRDefault="00A92246" w:rsidP="00A92246">
      <w:pPr>
        <w:pStyle w:val="NormalWeb"/>
        <w:rPr>
          <w:rStyle w:val="Forte"/>
          <w:rFonts w:ascii="Verdana" w:hAnsi="Verdana"/>
          <w:color w:val="393A3A"/>
          <w:sz w:val="18"/>
          <w:szCs w:val="18"/>
          <w:lang w:val="en-GB"/>
        </w:rPr>
      </w:pPr>
      <w:r w:rsidRPr="00A92246">
        <w:rPr>
          <w:rStyle w:val="Forte"/>
          <w:rFonts w:ascii="Verdana" w:hAnsi="Verdana"/>
          <w:color w:val="393A3A"/>
          <w:sz w:val="18"/>
          <w:szCs w:val="18"/>
          <w:lang w:val="en-GB"/>
        </w:rPr>
        <w:t>Female health professionals' higher risk of suicide</w:t>
      </w:r>
      <w:r>
        <w:rPr>
          <w:rStyle w:val="Forte"/>
          <w:rFonts w:ascii="Verdana" w:hAnsi="Verdana"/>
          <w:color w:val="393A3A"/>
          <w:sz w:val="18"/>
          <w:szCs w:val="18"/>
          <w:lang w:val="en-GB"/>
        </w:rPr>
        <w:t xml:space="preserve"> </w:t>
      </w:r>
    </w:p>
    <w:p w:rsidR="00A92246" w:rsidRDefault="00A92246" w:rsidP="00A92246">
      <w:pPr>
        <w:pStyle w:val="NormalWeb"/>
        <w:rPr>
          <w:rStyle w:val="Forte"/>
          <w:rFonts w:ascii="Verdana" w:hAnsi="Verdana"/>
          <w:color w:val="393A3A"/>
          <w:sz w:val="18"/>
          <w:szCs w:val="18"/>
          <w:lang w:val="en-GB"/>
        </w:rPr>
      </w:pPr>
    </w:p>
    <w:p w:rsidR="00A92246" w:rsidRPr="00A92246" w:rsidRDefault="00A92246" w:rsidP="00A92246">
      <w:pPr>
        <w:pStyle w:val="NormalWeb"/>
        <w:rPr>
          <w:rFonts w:ascii="Verdana" w:hAnsi="Verdana"/>
          <w:color w:val="393A3A"/>
          <w:sz w:val="18"/>
          <w:szCs w:val="18"/>
          <w:lang w:val="en-GB"/>
        </w:rPr>
      </w:pPr>
      <w:r w:rsidRPr="00A92246">
        <w:rPr>
          <w:rFonts w:ascii="Verdana" w:hAnsi="Verdana"/>
          <w:color w:val="393A3A"/>
          <w:sz w:val="18"/>
          <w:szCs w:val="18"/>
          <w:lang w:val="en-GB"/>
        </w:rPr>
        <w:t>New research conducted by the University of Melbourne and Deakin University has found that female health professionals are at twice the risk of suicide than women in other professions. The combination of occupational stress, home life pressures, and ready access to prescription drugs proved a "toxic cocktail" of risk factors for female doctors, according to the study.</w:t>
      </w:r>
    </w:p>
    <w:p w:rsidR="00A92246" w:rsidRPr="00A92246" w:rsidRDefault="00A92246" w:rsidP="00A92246">
      <w:pPr>
        <w:pStyle w:val="NormalWeb"/>
        <w:rPr>
          <w:rFonts w:ascii="Verdana" w:hAnsi="Verdana"/>
          <w:color w:val="393A3A"/>
          <w:sz w:val="18"/>
          <w:szCs w:val="18"/>
          <w:lang w:val="en-GB"/>
        </w:rPr>
      </w:pPr>
      <w:r w:rsidRPr="00A92246">
        <w:rPr>
          <w:rFonts w:ascii="Verdana" w:hAnsi="Verdana"/>
          <w:color w:val="393A3A"/>
          <w:sz w:val="18"/>
          <w:szCs w:val="18"/>
          <w:lang w:val="en-GB"/>
        </w:rPr>
        <w:t>The study found medical professionals are exposed to higher rates of stress than other professions, due to long working hours, work-family conflicts, and fears of making mistakes. These stresses are associated with the development of mental disorders such as anxiety and depression, often worsened by exposure to trauma through contact with patients and their families. In addition however, female health professionals also experience "gender role stress", such as pressures to undertake childcare and household roles.</w:t>
      </w:r>
    </w:p>
    <w:p w:rsidR="00A92246" w:rsidRPr="00A92246" w:rsidRDefault="00A92246" w:rsidP="00A92246">
      <w:pPr>
        <w:pStyle w:val="NormalWeb"/>
        <w:rPr>
          <w:rFonts w:ascii="Verdana" w:hAnsi="Verdana"/>
          <w:color w:val="393A3A"/>
          <w:sz w:val="18"/>
          <w:szCs w:val="18"/>
          <w:lang w:val="en-GB"/>
        </w:rPr>
      </w:pPr>
      <w:r w:rsidRPr="00A92246">
        <w:rPr>
          <w:rFonts w:ascii="Verdana" w:hAnsi="Verdana"/>
          <w:color w:val="393A3A"/>
          <w:sz w:val="18"/>
          <w:szCs w:val="18"/>
          <w:lang w:val="en-GB"/>
        </w:rPr>
        <w:t>While the rate of suicide among male medical professionals was similar to men in other professions, the study found male nurses and midwives suffered a disproportionately high rate of suicide.</w:t>
      </w:r>
    </w:p>
    <w:p w:rsidR="00A92246" w:rsidRDefault="00A92246" w:rsidP="00A92246">
      <w:pPr>
        <w:pStyle w:val="NormalWeb"/>
        <w:rPr>
          <w:rFonts w:ascii="Verdana" w:hAnsi="Verdana"/>
          <w:color w:val="393A3A"/>
          <w:sz w:val="18"/>
          <w:szCs w:val="18"/>
          <w:lang w:val="en-GB"/>
        </w:rPr>
      </w:pPr>
      <w:r w:rsidRPr="00A92246">
        <w:rPr>
          <w:rFonts w:ascii="Verdana" w:hAnsi="Verdana"/>
          <w:color w:val="393A3A"/>
          <w:sz w:val="18"/>
          <w:szCs w:val="18"/>
          <w:lang w:val="en-GB"/>
        </w:rPr>
        <w:t xml:space="preserve">The authors concluded: "An understanding of the specific stressors and risk factors experienced by women in these professions may shed additional light on targeted prevention strategies. Attention should also be given to the high rate of suicide among men, including those employed in health care. Strategies targeted at health professionals should also pay heed to the higher rate of suicide among professionals with access to prescription medicines." </w:t>
      </w:r>
    </w:p>
    <w:p w:rsidR="00A92246" w:rsidRDefault="00A92246" w:rsidP="00A92246">
      <w:pPr>
        <w:pStyle w:val="NormalWeb"/>
        <w:rPr>
          <w:rStyle w:val="nfase"/>
          <w:rFonts w:ascii="Verdana" w:hAnsi="Verdana"/>
          <w:color w:val="393A3A"/>
          <w:sz w:val="18"/>
          <w:szCs w:val="18"/>
          <w:lang w:val="en-GB"/>
        </w:rPr>
      </w:pPr>
      <w:r w:rsidRPr="00A92246">
        <w:rPr>
          <w:rFonts w:ascii="Verdana" w:hAnsi="Verdana"/>
          <w:color w:val="393A3A"/>
          <w:sz w:val="18"/>
          <w:szCs w:val="18"/>
          <w:lang w:val="en-GB"/>
        </w:rPr>
        <w:t>S</w:t>
      </w:r>
      <w:r w:rsidRPr="00A92246">
        <w:rPr>
          <w:rStyle w:val="nfase"/>
          <w:rFonts w:ascii="Verdana" w:hAnsi="Verdana"/>
          <w:color w:val="393A3A"/>
          <w:sz w:val="18"/>
          <w:szCs w:val="18"/>
          <w:lang w:val="en-GB"/>
        </w:rPr>
        <w:t xml:space="preserve">ource: </w:t>
      </w:r>
      <w:hyperlink r:id="rId10" w:tgtFrame="_blank" w:history="1">
        <w:r w:rsidRPr="00A92246">
          <w:rPr>
            <w:rStyle w:val="Hyperlink"/>
            <w:rFonts w:ascii="Verdana" w:hAnsi="Verdana"/>
            <w:i/>
            <w:iCs/>
            <w:sz w:val="18"/>
            <w:szCs w:val="18"/>
            <w:lang w:val="en-GB"/>
          </w:rPr>
          <w:t>Female health professionals at a greater risk of suicide, report finds</w:t>
        </w:r>
      </w:hyperlink>
      <w:r w:rsidRPr="00A92246">
        <w:rPr>
          <w:rStyle w:val="nfase"/>
          <w:rFonts w:ascii="Verdana" w:hAnsi="Verdana"/>
          <w:color w:val="393A3A"/>
          <w:sz w:val="18"/>
          <w:szCs w:val="18"/>
          <w:lang w:val="en-GB"/>
        </w:rPr>
        <w:t xml:space="preserve"> The Age. </w:t>
      </w:r>
    </w:p>
    <w:p w:rsidR="00A92246" w:rsidRPr="00A92246" w:rsidRDefault="00A92246" w:rsidP="00A92246">
      <w:pPr>
        <w:pStyle w:val="NormalWeb"/>
        <w:rPr>
          <w:rFonts w:ascii="Verdana" w:hAnsi="Verdana"/>
          <w:color w:val="393A3A"/>
          <w:sz w:val="18"/>
          <w:szCs w:val="18"/>
          <w:lang w:val="en-GB"/>
        </w:rPr>
      </w:pPr>
      <w:r w:rsidRPr="00A92246">
        <w:rPr>
          <w:rStyle w:val="nfase"/>
          <w:rFonts w:ascii="Verdana" w:hAnsi="Verdana"/>
          <w:color w:val="393A3A"/>
          <w:sz w:val="18"/>
          <w:szCs w:val="18"/>
          <w:lang w:val="en-GB"/>
        </w:rPr>
        <w:t xml:space="preserve">Read more: </w:t>
      </w:r>
      <w:r w:rsidRPr="00A92246">
        <w:rPr>
          <w:rFonts w:ascii="Verdana" w:hAnsi="Verdana"/>
          <w:color w:val="393A3A"/>
          <w:sz w:val="18"/>
          <w:szCs w:val="18"/>
          <w:lang w:val="en-GB"/>
        </w:rPr>
        <w:t xml:space="preserve">Allison J Milner, </w:t>
      </w:r>
      <w:proofErr w:type="spellStart"/>
      <w:r w:rsidRPr="00A92246">
        <w:rPr>
          <w:rFonts w:ascii="Verdana" w:hAnsi="Verdana"/>
          <w:color w:val="393A3A"/>
          <w:sz w:val="18"/>
          <w:szCs w:val="18"/>
          <w:lang w:val="en-GB"/>
        </w:rPr>
        <w:t>Humaira</w:t>
      </w:r>
      <w:proofErr w:type="spellEnd"/>
      <w:r w:rsidRPr="00A92246">
        <w:rPr>
          <w:rFonts w:ascii="Verdana" w:hAnsi="Verdana"/>
          <w:color w:val="393A3A"/>
          <w:sz w:val="18"/>
          <w:szCs w:val="18"/>
          <w:lang w:val="en-GB"/>
        </w:rPr>
        <w:t xml:space="preserve"> </w:t>
      </w:r>
      <w:proofErr w:type="spellStart"/>
      <w:r w:rsidRPr="00A92246">
        <w:rPr>
          <w:rFonts w:ascii="Verdana" w:hAnsi="Verdana"/>
          <w:color w:val="393A3A"/>
          <w:sz w:val="18"/>
          <w:szCs w:val="18"/>
          <w:lang w:val="en-GB"/>
        </w:rPr>
        <w:t>Maheen</w:t>
      </w:r>
      <w:proofErr w:type="spellEnd"/>
      <w:r w:rsidRPr="00A92246">
        <w:rPr>
          <w:rFonts w:ascii="Verdana" w:hAnsi="Verdana"/>
          <w:color w:val="393A3A"/>
          <w:sz w:val="18"/>
          <w:szCs w:val="18"/>
          <w:lang w:val="en-GB"/>
        </w:rPr>
        <w:t xml:space="preserve">, Marie M </w:t>
      </w:r>
      <w:proofErr w:type="spellStart"/>
      <w:r w:rsidRPr="00A92246">
        <w:rPr>
          <w:rFonts w:ascii="Verdana" w:hAnsi="Verdana"/>
          <w:color w:val="393A3A"/>
          <w:sz w:val="18"/>
          <w:szCs w:val="18"/>
          <w:lang w:val="en-GB"/>
        </w:rPr>
        <w:t>Bismark</w:t>
      </w:r>
      <w:proofErr w:type="spellEnd"/>
      <w:r w:rsidRPr="00A92246">
        <w:rPr>
          <w:rFonts w:ascii="Verdana" w:hAnsi="Verdana"/>
          <w:color w:val="393A3A"/>
          <w:sz w:val="18"/>
          <w:szCs w:val="18"/>
          <w:lang w:val="en-GB"/>
        </w:rPr>
        <w:t xml:space="preserve"> and Matthew J </w:t>
      </w:r>
      <w:proofErr w:type="spellStart"/>
      <w:r w:rsidRPr="00A92246">
        <w:rPr>
          <w:rFonts w:ascii="Verdana" w:hAnsi="Verdana"/>
          <w:color w:val="393A3A"/>
          <w:sz w:val="18"/>
          <w:szCs w:val="18"/>
          <w:lang w:val="en-GB"/>
        </w:rPr>
        <w:t>Spittal</w:t>
      </w:r>
      <w:proofErr w:type="spellEnd"/>
      <w:r w:rsidRPr="00A92246">
        <w:rPr>
          <w:rFonts w:ascii="Verdana" w:hAnsi="Verdana"/>
          <w:color w:val="393A3A"/>
          <w:sz w:val="18"/>
          <w:szCs w:val="18"/>
          <w:lang w:val="en-GB"/>
        </w:rPr>
        <w:t xml:space="preserve">. </w:t>
      </w:r>
      <w:hyperlink r:id="rId11" w:tgtFrame="_blank" w:history="1">
        <w:r w:rsidRPr="00A92246">
          <w:rPr>
            <w:rStyle w:val="nfase"/>
            <w:rFonts w:ascii="Verdana" w:hAnsi="Verdana"/>
            <w:color w:val="393A3A"/>
            <w:sz w:val="18"/>
            <w:szCs w:val="18"/>
            <w:lang w:val="en-GB"/>
          </w:rPr>
          <w:t>Suicide by health professionals: a retrospective mortality study in Australia, 2001–2012</w:t>
        </w:r>
      </w:hyperlink>
      <w:r w:rsidRPr="00A92246">
        <w:rPr>
          <w:rFonts w:ascii="Verdana" w:hAnsi="Verdana"/>
          <w:color w:val="393A3A"/>
          <w:sz w:val="18"/>
          <w:szCs w:val="18"/>
          <w:lang w:val="en-GB"/>
        </w:rPr>
        <w:t xml:space="preserve"> (Open Access); </w:t>
      </w:r>
      <w:r w:rsidRPr="00A92246">
        <w:rPr>
          <w:rStyle w:val="nfase"/>
          <w:rFonts w:ascii="Verdana" w:hAnsi="Verdana"/>
          <w:color w:val="393A3A"/>
          <w:sz w:val="18"/>
          <w:szCs w:val="18"/>
          <w:lang w:val="en-GB"/>
        </w:rPr>
        <w:t xml:space="preserve">Med J </w:t>
      </w:r>
      <w:proofErr w:type="spellStart"/>
      <w:r w:rsidRPr="00A92246">
        <w:rPr>
          <w:rStyle w:val="nfase"/>
          <w:rFonts w:ascii="Verdana" w:hAnsi="Verdana"/>
          <w:color w:val="393A3A"/>
          <w:sz w:val="18"/>
          <w:szCs w:val="18"/>
          <w:lang w:val="en-GB"/>
        </w:rPr>
        <w:t>Aust</w:t>
      </w:r>
      <w:proofErr w:type="spellEnd"/>
      <w:r w:rsidRPr="00A92246">
        <w:rPr>
          <w:rStyle w:val="nfase"/>
          <w:rFonts w:ascii="Verdana" w:hAnsi="Verdana"/>
          <w:color w:val="393A3A"/>
          <w:sz w:val="18"/>
          <w:szCs w:val="18"/>
          <w:lang w:val="en-GB"/>
        </w:rPr>
        <w:t xml:space="preserve"> 2016</w:t>
      </w:r>
      <w:r w:rsidRPr="00A92246">
        <w:rPr>
          <w:rFonts w:ascii="Verdana" w:hAnsi="Verdana"/>
          <w:color w:val="393A3A"/>
          <w:sz w:val="18"/>
          <w:szCs w:val="18"/>
          <w:lang w:val="en-GB"/>
        </w:rPr>
        <w:t xml:space="preserve">; 205 (6): 260-265. </w:t>
      </w:r>
      <w:proofErr w:type="spellStart"/>
      <w:proofErr w:type="gramStart"/>
      <w:r w:rsidRPr="00A92246">
        <w:rPr>
          <w:rFonts w:ascii="Verdana" w:hAnsi="Verdana"/>
          <w:color w:val="393A3A"/>
          <w:sz w:val="18"/>
          <w:szCs w:val="18"/>
          <w:lang w:val="en-GB"/>
        </w:rPr>
        <w:t>doi</w:t>
      </w:r>
      <w:proofErr w:type="spellEnd"/>
      <w:proofErr w:type="gramEnd"/>
      <w:r w:rsidRPr="00A92246">
        <w:rPr>
          <w:rFonts w:ascii="Verdana" w:hAnsi="Verdana"/>
          <w:color w:val="393A3A"/>
          <w:sz w:val="18"/>
          <w:szCs w:val="18"/>
          <w:lang w:val="en-GB"/>
        </w:rPr>
        <w:t>: 10.5694/mja15.01044</w:t>
      </w:r>
    </w:p>
    <w:p w:rsidR="00A92246" w:rsidRDefault="00A92246">
      <w:pPr>
        <w:rPr>
          <w:lang w:val="en-GB"/>
        </w:rPr>
      </w:pPr>
    </w:p>
    <w:p w:rsidR="00A92246" w:rsidRPr="00A92246" w:rsidRDefault="00A92246" w:rsidP="00A92246">
      <w:pPr>
        <w:spacing w:line="240" w:lineRule="auto"/>
        <w:jc w:val="left"/>
        <w:rPr>
          <w:rFonts w:ascii="Verdana" w:eastAsia="Times New Roman" w:hAnsi="Verdana"/>
          <w:b/>
          <w:color w:val="393A3A"/>
          <w:sz w:val="18"/>
          <w:szCs w:val="18"/>
          <w:lang w:val="en-GB" w:eastAsia="pt-BR"/>
        </w:rPr>
      </w:pPr>
      <w:r w:rsidRPr="00BA1F06">
        <w:rPr>
          <w:rFonts w:ascii="Verdana" w:eastAsia="Times New Roman" w:hAnsi="Verdana"/>
          <w:b/>
          <w:i/>
          <w:iCs/>
          <w:color w:val="393A3A"/>
          <w:sz w:val="18"/>
          <w:szCs w:val="18"/>
          <w:lang w:val="en-GB" w:eastAsia="pt-BR"/>
        </w:rPr>
        <w:t xml:space="preserve">Fatality statistics </w:t>
      </w:r>
    </w:p>
    <w:p w:rsidR="00A92246" w:rsidRPr="00A92246" w:rsidRDefault="00A92246" w:rsidP="00A92246">
      <w:pPr>
        <w:spacing w:before="100" w:beforeAutospacing="1" w:after="100" w:afterAutospacing="1" w:line="240" w:lineRule="auto"/>
        <w:jc w:val="left"/>
        <w:rPr>
          <w:rFonts w:ascii="Verdana" w:eastAsia="Times New Roman" w:hAnsi="Verdana"/>
          <w:color w:val="393A3A"/>
          <w:sz w:val="18"/>
          <w:szCs w:val="18"/>
          <w:lang w:val="en-GB" w:eastAsia="pt-BR"/>
        </w:rPr>
      </w:pPr>
      <w:r w:rsidRPr="00A92246">
        <w:rPr>
          <w:rFonts w:ascii="Verdana" w:eastAsia="Times New Roman" w:hAnsi="Verdana"/>
          <w:color w:val="393A3A"/>
          <w:sz w:val="18"/>
          <w:szCs w:val="18"/>
          <w:lang w:val="en-GB" w:eastAsia="pt-BR"/>
        </w:rPr>
        <w:t xml:space="preserve">There has not been an update since September 6, at which time there had been 117 fatalities reported to Safe Work Australia. The numbers and industries may vary as Safe Work receives more detailed information (to check for updates, go to the Safe Work Australia </w:t>
      </w:r>
      <w:hyperlink r:id="rId12" w:tgtFrame="_blank" w:history="1">
        <w:r w:rsidRPr="00A92246">
          <w:rPr>
            <w:rFonts w:ascii="Verdana" w:eastAsia="Times New Roman" w:hAnsi="Verdana"/>
            <w:color w:val="393A3A"/>
            <w:sz w:val="18"/>
            <w:szCs w:val="18"/>
            <w:lang w:val="en-GB" w:eastAsia="pt-BR"/>
          </w:rPr>
          <w:t>Work-related fatalities</w:t>
        </w:r>
      </w:hyperlink>
      <w:r w:rsidRPr="00A92246">
        <w:rPr>
          <w:rFonts w:ascii="Verdana" w:eastAsia="Times New Roman" w:hAnsi="Verdana"/>
          <w:color w:val="393A3A"/>
          <w:sz w:val="18"/>
          <w:szCs w:val="18"/>
          <w:lang w:val="en-GB" w:eastAsia="pt-BR"/>
        </w:rPr>
        <w:t xml:space="preserve"> page).</w:t>
      </w:r>
    </w:p>
    <w:p w:rsidR="00A92246" w:rsidRPr="00A92246" w:rsidRDefault="00A92246" w:rsidP="00A92246">
      <w:pPr>
        <w:spacing w:before="100" w:beforeAutospacing="1" w:after="100" w:afterAutospacing="1" w:line="240" w:lineRule="auto"/>
        <w:jc w:val="left"/>
        <w:rPr>
          <w:rFonts w:ascii="Verdana" w:eastAsia="Times New Roman" w:hAnsi="Verdana"/>
          <w:color w:val="393A3A"/>
          <w:sz w:val="18"/>
          <w:szCs w:val="18"/>
          <w:lang w:val="en-GB" w:eastAsia="pt-BR"/>
        </w:rPr>
      </w:pPr>
      <w:r w:rsidRPr="00A92246">
        <w:rPr>
          <w:rFonts w:ascii="Verdana" w:eastAsia="Times New Roman" w:hAnsi="Verdana"/>
          <w:color w:val="393A3A"/>
          <w:sz w:val="18"/>
          <w:szCs w:val="18"/>
          <w:lang w:val="en-GB" w:eastAsia="pt-BR"/>
        </w:rPr>
        <w:t>Safe Work has now released the monthly fatality report for April 2016, during which there were 18 work-related notifiable fatalities - the same number as in March. All were male: 14 were workers and four were bystanders. Of these fatalities, two workers and two bystanders died as a result of an incident on a public road, and two workers and one bystander died as a result of an air incident.</w:t>
      </w:r>
    </w:p>
    <w:p w:rsidR="00A92246" w:rsidRDefault="00A92246" w:rsidP="00A92246">
      <w:pPr>
        <w:spacing w:before="100" w:beforeAutospacing="1" w:after="100" w:afterAutospacing="1" w:line="240" w:lineRule="auto"/>
        <w:jc w:val="left"/>
        <w:rPr>
          <w:rFonts w:ascii="Verdana" w:eastAsia="Times New Roman" w:hAnsi="Verdana"/>
          <w:color w:val="393A3A"/>
          <w:sz w:val="18"/>
          <w:szCs w:val="18"/>
          <w:lang w:val="en-GB" w:eastAsia="pt-BR"/>
        </w:rPr>
      </w:pPr>
      <w:r w:rsidRPr="00A92246">
        <w:rPr>
          <w:rFonts w:ascii="Verdana" w:eastAsia="Times New Roman" w:hAnsi="Verdana"/>
          <w:color w:val="393A3A"/>
          <w:sz w:val="18"/>
          <w:szCs w:val="18"/>
          <w:lang w:val="en-GB" w:eastAsia="pt-BR"/>
        </w:rPr>
        <w:t xml:space="preserve">Of the 18 fatalities, three fatalities each involved a </w:t>
      </w:r>
      <w:r w:rsidRPr="00A92246">
        <w:rPr>
          <w:rFonts w:ascii="Verdana" w:eastAsia="Times New Roman" w:hAnsi="Verdana"/>
          <w:i/>
          <w:iCs/>
          <w:color w:val="393A3A"/>
          <w:sz w:val="18"/>
          <w:szCs w:val="18"/>
          <w:lang w:val="en-GB" w:eastAsia="pt-BR"/>
        </w:rPr>
        <w:t>vehicle accident - public road crash, vehicle accident - air crash</w:t>
      </w:r>
      <w:r w:rsidRPr="00A92246">
        <w:rPr>
          <w:rFonts w:ascii="Verdana" w:eastAsia="Times New Roman" w:hAnsi="Verdana"/>
          <w:color w:val="393A3A"/>
          <w:sz w:val="18"/>
          <w:szCs w:val="18"/>
          <w:lang w:val="en-GB" w:eastAsia="pt-BR"/>
        </w:rPr>
        <w:t xml:space="preserve"> and</w:t>
      </w:r>
      <w:r w:rsidRPr="00A92246">
        <w:rPr>
          <w:rFonts w:ascii="Verdana" w:eastAsia="Times New Roman" w:hAnsi="Verdana"/>
          <w:i/>
          <w:iCs/>
          <w:color w:val="393A3A"/>
          <w:sz w:val="18"/>
          <w:szCs w:val="18"/>
          <w:lang w:val="en-GB" w:eastAsia="pt-BR"/>
        </w:rPr>
        <w:t xml:space="preserve"> being hit by moving object other than a vehicle</w:t>
      </w:r>
      <w:r w:rsidRPr="00A92246">
        <w:rPr>
          <w:rFonts w:ascii="Verdana" w:eastAsia="Times New Roman" w:hAnsi="Verdana"/>
          <w:color w:val="393A3A"/>
          <w:sz w:val="18"/>
          <w:szCs w:val="18"/>
          <w:lang w:val="en-GB" w:eastAsia="pt-BR"/>
        </w:rPr>
        <w:t xml:space="preserve">. Two fatalities each resulted from a </w:t>
      </w:r>
      <w:r w:rsidRPr="00A92246">
        <w:rPr>
          <w:rFonts w:ascii="Verdana" w:eastAsia="Times New Roman" w:hAnsi="Verdana"/>
          <w:i/>
          <w:iCs/>
          <w:color w:val="393A3A"/>
          <w:sz w:val="18"/>
          <w:szCs w:val="18"/>
          <w:lang w:val="en-GB" w:eastAsia="pt-BR"/>
        </w:rPr>
        <w:t>fall from a height</w:t>
      </w:r>
      <w:r w:rsidRPr="00A92246">
        <w:rPr>
          <w:rFonts w:ascii="Verdana" w:eastAsia="Times New Roman" w:hAnsi="Verdana"/>
          <w:color w:val="393A3A"/>
          <w:sz w:val="18"/>
          <w:szCs w:val="18"/>
          <w:lang w:val="en-GB" w:eastAsia="pt-BR"/>
        </w:rPr>
        <w:t xml:space="preserve"> and </w:t>
      </w:r>
      <w:r w:rsidRPr="00A92246">
        <w:rPr>
          <w:rFonts w:ascii="Verdana" w:eastAsia="Times New Roman" w:hAnsi="Verdana"/>
          <w:i/>
          <w:iCs/>
          <w:color w:val="393A3A"/>
          <w:sz w:val="18"/>
          <w:szCs w:val="18"/>
          <w:lang w:val="en-GB" w:eastAsia="pt-BR"/>
        </w:rPr>
        <w:t>vehicle accident - other</w:t>
      </w:r>
      <w:r w:rsidRPr="00A92246">
        <w:rPr>
          <w:rFonts w:ascii="Verdana" w:eastAsia="Times New Roman" w:hAnsi="Verdana"/>
          <w:color w:val="393A3A"/>
          <w:sz w:val="18"/>
          <w:szCs w:val="18"/>
          <w:lang w:val="en-GB" w:eastAsia="pt-BR"/>
        </w:rPr>
        <w:t xml:space="preserve">. Seven fatalities </w:t>
      </w:r>
      <w:r w:rsidRPr="00A92246">
        <w:rPr>
          <w:rFonts w:ascii="Verdana" w:eastAsia="Times New Roman" w:hAnsi="Verdana"/>
          <w:color w:val="393A3A"/>
          <w:sz w:val="18"/>
          <w:szCs w:val="18"/>
          <w:lang w:val="en-GB" w:eastAsia="pt-BR"/>
        </w:rPr>
        <w:lastRenderedPageBreak/>
        <w:t xml:space="preserve">occurred in Transport, postal &amp; warehousing workplaces; six in Construction workplaces; and two in Agriculture, forestry &amp; fishing workplaces. Arts &amp; recreation services; Health care &amp; social assistance; and Electricity, gas, water &amp; waste services workplaces had one fatality each. To download the report, go to the </w:t>
      </w:r>
      <w:hyperlink r:id="rId13" w:tgtFrame="_blank" w:history="1">
        <w:r w:rsidRPr="00A92246">
          <w:rPr>
            <w:rFonts w:ascii="Verdana" w:eastAsia="Times New Roman" w:hAnsi="Verdana"/>
            <w:color w:val="393A3A"/>
            <w:sz w:val="18"/>
            <w:szCs w:val="18"/>
            <w:lang w:val="en-GB" w:eastAsia="pt-BR"/>
          </w:rPr>
          <w:t>Notifiable Fatalities Monthly Report</w:t>
        </w:r>
      </w:hyperlink>
      <w:r w:rsidRPr="00A92246">
        <w:rPr>
          <w:rFonts w:ascii="Verdana" w:eastAsia="Times New Roman" w:hAnsi="Verdana"/>
          <w:color w:val="393A3A"/>
          <w:sz w:val="18"/>
          <w:szCs w:val="18"/>
          <w:lang w:val="en-GB" w:eastAsia="pt-BR"/>
        </w:rPr>
        <w:t xml:space="preserve"> webpage.</w:t>
      </w:r>
    </w:p>
    <w:p w:rsidR="00A92246" w:rsidRDefault="00A92246" w:rsidP="00A92246">
      <w:pPr>
        <w:spacing w:before="100" w:beforeAutospacing="1" w:after="100" w:afterAutospacing="1" w:line="240" w:lineRule="auto"/>
        <w:jc w:val="left"/>
        <w:rPr>
          <w:rFonts w:ascii="Verdana" w:eastAsia="Times New Roman" w:hAnsi="Verdana"/>
          <w:color w:val="393A3A"/>
          <w:sz w:val="18"/>
          <w:szCs w:val="18"/>
          <w:lang w:val="en-GB" w:eastAsia="pt-BR"/>
        </w:rPr>
      </w:pPr>
    </w:p>
    <w:p w:rsidR="00A92246" w:rsidRPr="00A92246" w:rsidRDefault="00A92246" w:rsidP="00A92246">
      <w:pPr>
        <w:pStyle w:val="NormalWeb"/>
        <w:rPr>
          <w:rFonts w:ascii="Verdana" w:hAnsi="Verdana"/>
          <w:color w:val="393A3A"/>
          <w:sz w:val="18"/>
          <w:szCs w:val="18"/>
          <w:lang w:val="en-GB"/>
        </w:rPr>
      </w:pPr>
      <w:r w:rsidRPr="00A92246">
        <w:rPr>
          <w:rStyle w:val="Forte"/>
          <w:rFonts w:ascii="Verdana" w:hAnsi="Verdana"/>
          <w:color w:val="393A3A"/>
          <w:sz w:val="18"/>
          <w:szCs w:val="18"/>
          <w:lang w:val="en-GB"/>
        </w:rPr>
        <w:t>USA: Industries queue up to defend their toxins</w:t>
      </w:r>
      <w:r w:rsidRPr="00A92246">
        <w:rPr>
          <w:rFonts w:ascii="Verdana" w:hAnsi="Verdana"/>
          <w:color w:val="393A3A"/>
          <w:sz w:val="18"/>
          <w:szCs w:val="18"/>
          <w:lang w:val="en-GB"/>
        </w:rPr>
        <w:br/>
        <w:t xml:space="preserve">A new US chemical safety law has triggered an immediate response from chemical producers – a rush to make sure their favourites are the back of the queue for official scrutiny. The Frank R Lautenberg Chemical Safety Act for the 21st Century, passed into law in June this year, gave the US Environmental Protection Agency (EPA) the authority needed to evaluate and regulate the tens of thousands of commercial chemicals it oversees in the US. The new law was hailed as a more transparent 'new risk-based safety standard', replacing the Toxic Substances Control Act's (TSCA) cost-benefit analysis that required EPA to include commercial considerations when deciding on chemical restrictions. "But many industry group comments suggest we've not heard the last of the old argument," writes chemical safety journalist Elizabeth Grossman. She says on the 'keep off' list are top causes of occupational cancer, including asbestos, </w:t>
      </w:r>
      <w:proofErr w:type="spellStart"/>
      <w:r w:rsidRPr="00A92246">
        <w:rPr>
          <w:rFonts w:ascii="Verdana" w:hAnsi="Verdana"/>
          <w:color w:val="393A3A"/>
          <w:sz w:val="18"/>
          <w:szCs w:val="18"/>
          <w:lang w:val="en-GB"/>
        </w:rPr>
        <w:t>benzidine</w:t>
      </w:r>
      <w:proofErr w:type="spellEnd"/>
      <w:r w:rsidRPr="00A92246">
        <w:rPr>
          <w:rFonts w:ascii="Verdana" w:hAnsi="Verdana"/>
          <w:color w:val="393A3A"/>
          <w:sz w:val="18"/>
          <w:szCs w:val="18"/>
          <w:lang w:val="en-GB"/>
        </w:rPr>
        <w:t xml:space="preserve"> dyes and vinyl chloride monomer. While industry groups are actively defending the toxic substances they produce or use, other stakeholders are calling on EPA to make these high risk substances a priority. Senator Barbara Boxer, the Senate's Environment and Public Works Committee's ranking Democrat, has written to EPA administrator Gina McCarthy asking that asbestos be among the first 10 chemicals the Lautenberg Act considers. "The EPA's proposed choices are due by mid-December," writes Grossman. "They will reveal whether the Lautenberg Act will move to restrict hazardous chemicals of great concern to workers and work sites." </w:t>
      </w:r>
      <w:r w:rsidRPr="00A92246">
        <w:rPr>
          <w:rFonts w:ascii="Verdana" w:hAnsi="Verdana"/>
          <w:color w:val="393A3A"/>
          <w:sz w:val="18"/>
          <w:szCs w:val="18"/>
          <w:lang w:val="en-GB"/>
        </w:rPr>
        <w:br/>
      </w:r>
      <w:proofErr w:type="gramStart"/>
      <w:r w:rsidRPr="00A92246">
        <w:rPr>
          <w:rStyle w:val="nfase"/>
          <w:rFonts w:ascii="Verdana" w:hAnsi="Verdana"/>
          <w:color w:val="393A3A"/>
          <w:sz w:val="18"/>
          <w:szCs w:val="18"/>
          <w:lang w:val="en-GB"/>
        </w:rPr>
        <w:t xml:space="preserve">Senator Barbara Boxer's </w:t>
      </w:r>
      <w:hyperlink r:id="rId14" w:tgtFrame="_blank" w:history="1">
        <w:r w:rsidRPr="00A92246">
          <w:rPr>
            <w:rStyle w:val="Hyperlink"/>
            <w:rFonts w:ascii="Verdana" w:hAnsi="Verdana"/>
            <w:i/>
            <w:iCs/>
            <w:sz w:val="18"/>
            <w:szCs w:val="18"/>
            <w:lang w:val="en-GB"/>
          </w:rPr>
          <w:t>news release</w:t>
        </w:r>
      </w:hyperlink>
      <w:r w:rsidRPr="00A92246">
        <w:rPr>
          <w:rStyle w:val="nfase"/>
          <w:rFonts w:ascii="Verdana" w:hAnsi="Verdana"/>
          <w:color w:val="393A3A"/>
          <w:sz w:val="18"/>
          <w:szCs w:val="18"/>
          <w:lang w:val="en-GB"/>
        </w:rPr>
        <w:t>.</w:t>
      </w:r>
      <w:proofErr w:type="gramEnd"/>
      <w:r w:rsidRPr="00A92246">
        <w:rPr>
          <w:rStyle w:val="nfase"/>
          <w:rFonts w:ascii="Verdana" w:hAnsi="Verdana"/>
          <w:color w:val="393A3A"/>
          <w:sz w:val="18"/>
          <w:szCs w:val="18"/>
          <w:lang w:val="en-GB"/>
        </w:rPr>
        <w:t xml:space="preserve"> </w:t>
      </w:r>
      <w:hyperlink r:id="rId15" w:tgtFrame="_blank" w:history="1">
        <w:proofErr w:type="gramStart"/>
        <w:r w:rsidRPr="00A92246">
          <w:rPr>
            <w:rStyle w:val="Hyperlink"/>
            <w:rFonts w:ascii="Verdana" w:hAnsi="Verdana"/>
            <w:i/>
            <w:iCs/>
            <w:sz w:val="18"/>
            <w:szCs w:val="18"/>
            <w:lang w:val="en-GB"/>
          </w:rPr>
          <w:t>The Pump Handle blog</w:t>
        </w:r>
      </w:hyperlink>
      <w:r w:rsidRPr="00A92246">
        <w:rPr>
          <w:rStyle w:val="nfase"/>
          <w:rFonts w:ascii="Verdana" w:hAnsi="Verdana"/>
          <w:color w:val="393A3A"/>
          <w:sz w:val="18"/>
          <w:szCs w:val="18"/>
          <w:lang w:val="en-GB"/>
        </w:rPr>
        <w:t>.</w:t>
      </w:r>
      <w:proofErr w:type="gramEnd"/>
      <w:r w:rsidRPr="00A92246">
        <w:rPr>
          <w:rStyle w:val="nfase"/>
          <w:rFonts w:ascii="Verdana" w:hAnsi="Verdana"/>
          <w:color w:val="393A3A"/>
          <w:sz w:val="18"/>
          <w:szCs w:val="18"/>
          <w:lang w:val="en-GB"/>
        </w:rPr>
        <w:t xml:space="preserve"> </w:t>
      </w:r>
      <w:proofErr w:type="gramStart"/>
      <w:r w:rsidRPr="00A92246">
        <w:rPr>
          <w:rStyle w:val="nfase"/>
          <w:rFonts w:ascii="Verdana" w:hAnsi="Verdana"/>
          <w:color w:val="393A3A"/>
          <w:sz w:val="18"/>
          <w:szCs w:val="18"/>
          <w:lang w:val="en-GB"/>
        </w:rPr>
        <w:t xml:space="preserve">US </w:t>
      </w:r>
      <w:hyperlink r:id="rId16" w:tgtFrame="_blank" w:history="1">
        <w:r w:rsidRPr="00A92246">
          <w:rPr>
            <w:rStyle w:val="Hyperlink"/>
            <w:rFonts w:ascii="Verdana" w:hAnsi="Verdana"/>
            <w:i/>
            <w:iCs/>
            <w:sz w:val="18"/>
            <w:szCs w:val="18"/>
            <w:lang w:val="en-GB"/>
          </w:rPr>
          <w:t>EPA webpage</w:t>
        </w:r>
      </w:hyperlink>
      <w:r w:rsidRPr="00A92246">
        <w:rPr>
          <w:rStyle w:val="nfase"/>
          <w:rFonts w:ascii="Verdana" w:hAnsi="Verdana"/>
          <w:color w:val="393A3A"/>
          <w:sz w:val="18"/>
          <w:szCs w:val="18"/>
          <w:lang w:val="en-GB"/>
        </w:rPr>
        <w:t>.</w:t>
      </w:r>
      <w:proofErr w:type="gramEnd"/>
    </w:p>
    <w:p w:rsidR="00A92246" w:rsidRDefault="00A92246" w:rsidP="00A92246">
      <w:pPr>
        <w:pStyle w:val="NormalWeb"/>
        <w:jc w:val="right"/>
        <w:rPr>
          <w:rFonts w:ascii="Verdana" w:hAnsi="Verdana"/>
          <w:color w:val="393A3A"/>
          <w:sz w:val="18"/>
          <w:szCs w:val="18"/>
        </w:rPr>
      </w:pPr>
      <w:hyperlink r:id="rId17" w:history="1">
        <w:r>
          <w:rPr>
            <w:rStyle w:val="Hyperlink"/>
            <w:rFonts w:ascii="Verdana" w:hAnsi="Verdana"/>
            <w:sz w:val="18"/>
            <w:szCs w:val="18"/>
          </w:rPr>
          <w:t xml:space="preserve">Back </w:t>
        </w:r>
      </w:hyperlink>
    </w:p>
    <w:p w:rsidR="00A92246" w:rsidRPr="00A92246" w:rsidRDefault="00A92246" w:rsidP="00A92246">
      <w:pPr>
        <w:spacing w:before="100" w:beforeAutospacing="1" w:after="100" w:afterAutospacing="1" w:line="240" w:lineRule="auto"/>
        <w:jc w:val="left"/>
        <w:rPr>
          <w:rFonts w:ascii="Verdana" w:eastAsia="Times New Roman" w:hAnsi="Verdana"/>
          <w:color w:val="393A3A"/>
          <w:sz w:val="18"/>
          <w:szCs w:val="18"/>
          <w:lang w:val="en-GB" w:eastAsia="pt-BR"/>
        </w:rPr>
      </w:pPr>
    </w:p>
    <w:p w:rsidR="00A92246" w:rsidRPr="00A92246" w:rsidRDefault="00A92246">
      <w:pPr>
        <w:rPr>
          <w:lang w:val="en-GB"/>
        </w:rPr>
      </w:pPr>
    </w:p>
    <w:sectPr w:rsidR="00A92246" w:rsidRPr="00A922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B753E"/>
    <w:multiLevelType w:val="hybridMultilevel"/>
    <w:tmpl w:val="18E42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46"/>
    <w:rsid w:val="004C7ED3"/>
    <w:rsid w:val="006713BD"/>
    <w:rsid w:val="008B7413"/>
    <w:rsid w:val="009D39F5"/>
    <w:rsid w:val="00A92246"/>
    <w:rsid w:val="00BA1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92246"/>
    <w:rPr>
      <w:strike w:val="0"/>
      <w:dstrike w:val="0"/>
      <w:color w:val="393A3A"/>
      <w:u w:val="none"/>
      <w:effect w:val="none"/>
    </w:rPr>
  </w:style>
  <w:style w:type="character" w:styleId="Forte">
    <w:name w:val="Strong"/>
    <w:basedOn w:val="Fontepargpadro"/>
    <w:uiPriority w:val="22"/>
    <w:qFormat/>
    <w:rsid w:val="00A92246"/>
    <w:rPr>
      <w:b/>
      <w:bCs/>
    </w:rPr>
  </w:style>
  <w:style w:type="character" w:styleId="nfase">
    <w:name w:val="Emphasis"/>
    <w:basedOn w:val="Fontepargpadro"/>
    <w:uiPriority w:val="20"/>
    <w:qFormat/>
    <w:rsid w:val="00A92246"/>
    <w:rPr>
      <w:i/>
      <w:iCs/>
    </w:rPr>
  </w:style>
  <w:style w:type="paragraph" w:styleId="NormalWeb">
    <w:name w:val="Normal (Web)"/>
    <w:basedOn w:val="Normal"/>
    <w:uiPriority w:val="99"/>
    <w:unhideWhenUsed/>
    <w:rsid w:val="00A92246"/>
    <w:pPr>
      <w:spacing w:before="100" w:beforeAutospacing="1" w:after="100" w:afterAutospacing="1" w:line="240" w:lineRule="auto"/>
      <w:jc w:val="left"/>
    </w:pPr>
    <w:rPr>
      <w:rFonts w:eastAsia="Times New Roman"/>
      <w:szCs w:val="24"/>
      <w:lang w:eastAsia="pt-BR"/>
    </w:rPr>
  </w:style>
  <w:style w:type="paragraph" w:styleId="Textodebalo">
    <w:name w:val="Balloon Text"/>
    <w:basedOn w:val="Normal"/>
    <w:link w:val="TextodebaloChar"/>
    <w:uiPriority w:val="99"/>
    <w:semiHidden/>
    <w:unhideWhenUsed/>
    <w:rsid w:val="00A9224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2246"/>
    <w:rPr>
      <w:rFonts w:ascii="Tahoma" w:hAnsi="Tahoma" w:cs="Tahoma"/>
      <w:sz w:val="16"/>
      <w:szCs w:val="16"/>
    </w:rPr>
  </w:style>
  <w:style w:type="paragraph" w:styleId="PargrafodaLista">
    <w:name w:val="List Paragraph"/>
    <w:basedOn w:val="Normal"/>
    <w:uiPriority w:val="34"/>
    <w:qFormat/>
    <w:rsid w:val="00671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92246"/>
    <w:rPr>
      <w:strike w:val="0"/>
      <w:dstrike w:val="0"/>
      <w:color w:val="393A3A"/>
      <w:u w:val="none"/>
      <w:effect w:val="none"/>
    </w:rPr>
  </w:style>
  <w:style w:type="character" w:styleId="Forte">
    <w:name w:val="Strong"/>
    <w:basedOn w:val="Fontepargpadro"/>
    <w:uiPriority w:val="22"/>
    <w:qFormat/>
    <w:rsid w:val="00A92246"/>
    <w:rPr>
      <w:b/>
      <w:bCs/>
    </w:rPr>
  </w:style>
  <w:style w:type="character" w:styleId="nfase">
    <w:name w:val="Emphasis"/>
    <w:basedOn w:val="Fontepargpadro"/>
    <w:uiPriority w:val="20"/>
    <w:qFormat/>
    <w:rsid w:val="00A92246"/>
    <w:rPr>
      <w:i/>
      <w:iCs/>
    </w:rPr>
  </w:style>
  <w:style w:type="paragraph" w:styleId="NormalWeb">
    <w:name w:val="Normal (Web)"/>
    <w:basedOn w:val="Normal"/>
    <w:uiPriority w:val="99"/>
    <w:unhideWhenUsed/>
    <w:rsid w:val="00A92246"/>
    <w:pPr>
      <w:spacing w:before="100" w:beforeAutospacing="1" w:after="100" w:afterAutospacing="1" w:line="240" w:lineRule="auto"/>
      <w:jc w:val="left"/>
    </w:pPr>
    <w:rPr>
      <w:rFonts w:eastAsia="Times New Roman"/>
      <w:szCs w:val="24"/>
      <w:lang w:eastAsia="pt-BR"/>
    </w:rPr>
  </w:style>
  <w:style w:type="paragraph" w:styleId="Textodebalo">
    <w:name w:val="Balloon Text"/>
    <w:basedOn w:val="Normal"/>
    <w:link w:val="TextodebaloChar"/>
    <w:uiPriority w:val="99"/>
    <w:semiHidden/>
    <w:unhideWhenUsed/>
    <w:rsid w:val="00A9224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2246"/>
    <w:rPr>
      <w:rFonts w:ascii="Tahoma" w:hAnsi="Tahoma" w:cs="Tahoma"/>
      <w:sz w:val="16"/>
      <w:szCs w:val="16"/>
    </w:rPr>
  </w:style>
  <w:style w:type="paragraph" w:styleId="PargrafodaLista">
    <w:name w:val="List Paragraph"/>
    <w:basedOn w:val="Normal"/>
    <w:uiPriority w:val="34"/>
    <w:qFormat/>
    <w:rsid w:val="00671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88080">
      <w:bodyDiv w:val="1"/>
      <w:marLeft w:val="0"/>
      <w:marRight w:val="0"/>
      <w:marTop w:val="0"/>
      <w:marBottom w:val="0"/>
      <w:divBdr>
        <w:top w:val="none" w:sz="0" w:space="0" w:color="auto"/>
        <w:left w:val="none" w:sz="0" w:space="0" w:color="auto"/>
        <w:bottom w:val="none" w:sz="0" w:space="0" w:color="auto"/>
        <w:right w:val="none" w:sz="0" w:space="0" w:color="auto"/>
      </w:divBdr>
      <w:divsChild>
        <w:div w:id="1705518794">
          <w:marLeft w:val="0"/>
          <w:marRight w:val="0"/>
          <w:marTop w:val="0"/>
          <w:marBottom w:val="0"/>
          <w:divBdr>
            <w:top w:val="none" w:sz="0" w:space="0" w:color="auto"/>
            <w:left w:val="none" w:sz="0" w:space="0" w:color="auto"/>
            <w:bottom w:val="none" w:sz="0" w:space="0" w:color="auto"/>
            <w:right w:val="none" w:sz="0" w:space="0" w:color="auto"/>
          </w:divBdr>
          <w:divsChild>
            <w:div w:id="772361848">
              <w:marLeft w:val="0"/>
              <w:marRight w:val="0"/>
              <w:marTop w:val="0"/>
              <w:marBottom w:val="0"/>
              <w:divBdr>
                <w:top w:val="none" w:sz="0" w:space="0" w:color="auto"/>
                <w:left w:val="none" w:sz="0" w:space="0" w:color="auto"/>
                <w:bottom w:val="none" w:sz="0" w:space="0" w:color="auto"/>
                <w:right w:val="none" w:sz="0" w:space="0" w:color="auto"/>
              </w:divBdr>
              <w:divsChild>
                <w:div w:id="792332316">
                  <w:marLeft w:val="0"/>
                  <w:marRight w:val="0"/>
                  <w:marTop w:val="0"/>
                  <w:marBottom w:val="0"/>
                  <w:divBdr>
                    <w:top w:val="none" w:sz="0" w:space="0" w:color="auto"/>
                    <w:left w:val="none" w:sz="0" w:space="0" w:color="auto"/>
                    <w:bottom w:val="none" w:sz="0" w:space="0" w:color="auto"/>
                    <w:right w:val="none" w:sz="0" w:space="0" w:color="auto"/>
                  </w:divBdr>
                  <w:divsChild>
                    <w:div w:id="457575166">
                      <w:marLeft w:val="0"/>
                      <w:marRight w:val="0"/>
                      <w:marTop w:val="0"/>
                      <w:marBottom w:val="0"/>
                      <w:divBdr>
                        <w:top w:val="none" w:sz="0" w:space="0" w:color="auto"/>
                        <w:left w:val="none" w:sz="0" w:space="0" w:color="auto"/>
                        <w:bottom w:val="none" w:sz="0" w:space="0" w:color="auto"/>
                        <w:right w:val="none" w:sz="0" w:space="0" w:color="auto"/>
                      </w:divBdr>
                      <w:divsChild>
                        <w:div w:id="3465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08466">
      <w:bodyDiv w:val="1"/>
      <w:marLeft w:val="0"/>
      <w:marRight w:val="0"/>
      <w:marTop w:val="0"/>
      <w:marBottom w:val="0"/>
      <w:divBdr>
        <w:top w:val="none" w:sz="0" w:space="0" w:color="auto"/>
        <w:left w:val="none" w:sz="0" w:space="0" w:color="auto"/>
        <w:bottom w:val="none" w:sz="0" w:space="0" w:color="auto"/>
        <w:right w:val="none" w:sz="0" w:space="0" w:color="auto"/>
      </w:divBdr>
      <w:divsChild>
        <w:div w:id="2106919857">
          <w:marLeft w:val="0"/>
          <w:marRight w:val="0"/>
          <w:marTop w:val="0"/>
          <w:marBottom w:val="0"/>
          <w:divBdr>
            <w:top w:val="none" w:sz="0" w:space="0" w:color="auto"/>
            <w:left w:val="none" w:sz="0" w:space="0" w:color="auto"/>
            <w:bottom w:val="none" w:sz="0" w:space="0" w:color="auto"/>
            <w:right w:val="none" w:sz="0" w:space="0" w:color="auto"/>
          </w:divBdr>
          <w:divsChild>
            <w:div w:id="323437519">
              <w:marLeft w:val="0"/>
              <w:marRight w:val="0"/>
              <w:marTop w:val="0"/>
              <w:marBottom w:val="0"/>
              <w:divBdr>
                <w:top w:val="none" w:sz="0" w:space="0" w:color="auto"/>
                <w:left w:val="none" w:sz="0" w:space="0" w:color="auto"/>
                <w:bottom w:val="none" w:sz="0" w:space="0" w:color="auto"/>
                <w:right w:val="none" w:sz="0" w:space="0" w:color="auto"/>
              </w:divBdr>
              <w:divsChild>
                <w:div w:id="2035497912">
                  <w:marLeft w:val="0"/>
                  <w:marRight w:val="0"/>
                  <w:marTop w:val="0"/>
                  <w:marBottom w:val="0"/>
                  <w:divBdr>
                    <w:top w:val="none" w:sz="0" w:space="0" w:color="auto"/>
                    <w:left w:val="none" w:sz="0" w:space="0" w:color="auto"/>
                    <w:bottom w:val="none" w:sz="0" w:space="0" w:color="auto"/>
                    <w:right w:val="none" w:sz="0" w:space="0" w:color="auto"/>
                  </w:divBdr>
                  <w:divsChild>
                    <w:div w:id="1681851449">
                      <w:marLeft w:val="0"/>
                      <w:marRight w:val="0"/>
                      <w:marTop w:val="0"/>
                      <w:marBottom w:val="0"/>
                      <w:divBdr>
                        <w:top w:val="none" w:sz="0" w:space="0" w:color="auto"/>
                        <w:left w:val="none" w:sz="0" w:space="0" w:color="auto"/>
                        <w:bottom w:val="none" w:sz="0" w:space="0" w:color="auto"/>
                        <w:right w:val="none" w:sz="0" w:space="0" w:color="auto"/>
                      </w:divBdr>
                      <w:divsChild>
                        <w:div w:id="3337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63647">
      <w:bodyDiv w:val="1"/>
      <w:marLeft w:val="0"/>
      <w:marRight w:val="0"/>
      <w:marTop w:val="0"/>
      <w:marBottom w:val="0"/>
      <w:divBdr>
        <w:top w:val="none" w:sz="0" w:space="0" w:color="auto"/>
        <w:left w:val="none" w:sz="0" w:space="0" w:color="auto"/>
        <w:bottom w:val="none" w:sz="0" w:space="0" w:color="auto"/>
        <w:right w:val="none" w:sz="0" w:space="0" w:color="auto"/>
      </w:divBdr>
      <w:divsChild>
        <w:div w:id="1894996598">
          <w:marLeft w:val="0"/>
          <w:marRight w:val="0"/>
          <w:marTop w:val="0"/>
          <w:marBottom w:val="0"/>
          <w:divBdr>
            <w:top w:val="none" w:sz="0" w:space="0" w:color="auto"/>
            <w:left w:val="none" w:sz="0" w:space="0" w:color="auto"/>
            <w:bottom w:val="none" w:sz="0" w:space="0" w:color="auto"/>
            <w:right w:val="none" w:sz="0" w:space="0" w:color="auto"/>
          </w:divBdr>
          <w:divsChild>
            <w:div w:id="10033950">
              <w:marLeft w:val="0"/>
              <w:marRight w:val="0"/>
              <w:marTop w:val="0"/>
              <w:marBottom w:val="0"/>
              <w:divBdr>
                <w:top w:val="none" w:sz="0" w:space="0" w:color="auto"/>
                <w:left w:val="none" w:sz="0" w:space="0" w:color="auto"/>
                <w:bottom w:val="none" w:sz="0" w:space="0" w:color="auto"/>
                <w:right w:val="none" w:sz="0" w:space="0" w:color="auto"/>
              </w:divBdr>
              <w:divsChild>
                <w:div w:id="1981104820">
                  <w:marLeft w:val="0"/>
                  <w:marRight w:val="0"/>
                  <w:marTop w:val="0"/>
                  <w:marBottom w:val="0"/>
                  <w:divBdr>
                    <w:top w:val="none" w:sz="0" w:space="0" w:color="auto"/>
                    <w:left w:val="none" w:sz="0" w:space="0" w:color="auto"/>
                    <w:bottom w:val="none" w:sz="0" w:space="0" w:color="auto"/>
                    <w:right w:val="none" w:sz="0" w:space="0" w:color="auto"/>
                  </w:divBdr>
                  <w:divsChild>
                    <w:div w:id="989092226">
                      <w:marLeft w:val="0"/>
                      <w:marRight w:val="0"/>
                      <w:marTop w:val="0"/>
                      <w:marBottom w:val="0"/>
                      <w:divBdr>
                        <w:top w:val="none" w:sz="0" w:space="0" w:color="auto"/>
                        <w:left w:val="none" w:sz="0" w:space="0" w:color="auto"/>
                        <w:bottom w:val="none" w:sz="0" w:space="0" w:color="auto"/>
                        <w:right w:val="none" w:sz="0" w:space="0" w:color="auto"/>
                      </w:divBdr>
                      <w:divsChild>
                        <w:div w:id="7006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87793">
      <w:bodyDiv w:val="1"/>
      <w:marLeft w:val="0"/>
      <w:marRight w:val="0"/>
      <w:marTop w:val="0"/>
      <w:marBottom w:val="0"/>
      <w:divBdr>
        <w:top w:val="none" w:sz="0" w:space="0" w:color="auto"/>
        <w:left w:val="none" w:sz="0" w:space="0" w:color="auto"/>
        <w:bottom w:val="none" w:sz="0" w:space="0" w:color="auto"/>
        <w:right w:val="none" w:sz="0" w:space="0" w:color="auto"/>
      </w:divBdr>
      <w:divsChild>
        <w:div w:id="2020034572">
          <w:marLeft w:val="0"/>
          <w:marRight w:val="0"/>
          <w:marTop w:val="0"/>
          <w:marBottom w:val="0"/>
          <w:divBdr>
            <w:top w:val="none" w:sz="0" w:space="0" w:color="auto"/>
            <w:left w:val="none" w:sz="0" w:space="0" w:color="auto"/>
            <w:bottom w:val="none" w:sz="0" w:space="0" w:color="auto"/>
            <w:right w:val="none" w:sz="0" w:space="0" w:color="auto"/>
          </w:divBdr>
          <w:divsChild>
            <w:div w:id="1543127364">
              <w:marLeft w:val="0"/>
              <w:marRight w:val="0"/>
              <w:marTop w:val="0"/>
              <w:marBottom w:val="0"/>
              <w:divBdr>
                <w:top w:val="none" w:sz="0" w:space="0" w:color="auto"/>
                <w:left w:val="none" w:sz="0" w:space="0" w:color="auto"/>
                <w:bottom w:val="none" w:sz="0" w:space="0" w:color="auto"/>
                <w:right w:val="none" w:sz="0" w:space="0" w:color="auto"/>
              </w:divBdr>
              <w:divsChild>
                <w:div w:id="884296645">
                  <w:marLeft w:val="0"/>
                  <w:marRight w:val="0"/>
                  <w:marTop w:val="0"/>
                  <w:marBottom w:val="0"/>
                  <w:divBdr>
                    <w:top w:val="none" w:sz="0" w:space="0" w:color="auto"/>
                    <w:left w:val="none" w:sz="0" w:space="0" w:color="auto"/>
                    <w:bottom w:val="none" w:sz="0" w:space="0" w:color="auto"/>
                    <w:right w:val="none" w:sz="0" w:space="0" w:color="auto"/>
                  </w:divBdr>
                  <w:divsChild>
                    <w:div w:id="1660885886">
                      <w:marLeft w:val="0"/>
                      <w:marRight w:val="0"/>
                      <w:marTop w:val="0"/>
                      <w:marBottom w:val="0"/>
                      <w:divBdr>
                        <w:top w:val="none" w:sz="0" w:space="0" w:color="auto"/>
                        <w:left w:val="none" w:sz="0" w:space="0" w:color="auto"/>
                        <w:bottom w:val="none" w:sz="0" w:space="0" w:color="auto"/>
                        <w:right w:val="none" w:sz="0" w:space="0" w:color="auto"/>
                      </w:divBdr>
                      <w:divsChild>
                        <w:div w:id="1595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71597">
      <w:bodyDiv w:val="1"/>
      <w:marLeft w:val="0"/>
      <w:marRight w:val="0"/>
      <w:marTop w:val="0"/>
      <w:marBottom w:val="0"/>
      <w:divBdr>
        <w:top w:val="none" w:sz="0" w:space="0" w:color="auto"/>
        <w:left w:val="none" w:sz="0" w:space="0" w:color="auto"/>
        <w:bottom w:val="none" w:sz="0" w:space="0" w:color="auto"/>
        <w:right w:val="none" w:sz="0" w:space="0" w:color="auto"/>
      </w:divBdr>
      <w:divsChild>
        <w:div w:id="499732416">
          <w:marLeft w:val="0"/>
          <w:marRight w:val="0"/>
          <w:marTop w:val="0"/>
          <w:marBottom w:val="0"/>
          <w:divBdr>
            <w:top w:val="none" w:sz="0" w:space="0" w:color="auto"/>
            <w:left w:val="none" w:sz="0" w:space="0" w:color="auto"/>
            <w:bottom w:val="none" w:sz="0" w:space="0" w:color="auto"/>
            <w:right w:val="none" w:sz="0" w:space="0" w:color="auto"/>
          </w:divBdr>
          <w:divsChild>
            <w:div w:id="70347300">
              <w:marLeft w:val="0"/>
              <w:marRight w:val="0"/>
              <w:marTop w:val="0"/>
              <w:marBottom w:val="0"/>
              <w:divBdr>
                <w:top w:val="none" w:sz="0" w:space="0" w:color="auto"/>
                <w:left w:val="none" w:sz="0" w:space="0" w:color="auto"/>
                <w:bottom w:val="none" w:sz="0" w:space="0" w:color="auto"/>
                <w:right w:val="none" w:sz="0" w:space="0" w:color="auto"/>
              </w:divBdr>
              <w:divsChild>
                <w:div w:id="112748895">
                  <w:marLeft w:val="0"/>
                  <w:marRight w:val="0"/>
                  <w:marTop w:val="0"/>
                  <w:marBottom w:val="0"/>
                  <w:divBdr>
                    <w:top w:val="none" w:sz="0" w:space="0" w:color="auto"/>
                    <w:left w:val="none" w:sz="0" w:space="0" w:color="auto"/>
                    <w:bottom w:val="none" w:sz="0" w:space="0" w:color="auto"/>
                    <w:right w:val="none" w:sz="0" w:space="0" w:color="auto"/>
                  </w:divBdr>
                  <w:divsChild>
                    <w:div w:id="125854393">
                      <w:marLeft w:val="0"/>
                      <w:marRight w:val="0"/>
                      <w:marTop w:val="0"/>
                      <w:marBottom w:val="0"/>
                      <w:divBdr>
                        <w:top w:val="none" w:sz="0" w:space="0" w:color="auto"/>
                        <w:left w:val="none" w:sz="0" w:space="0" w:color="auto"/>
                        <w:bottom w:val="none" w:sz="0" w:space="0" w:color="auto"/>
                        <w:right w:val="none" w:sz="0" w:space="0" w:color="auto"/>
                      </w:divBdr>
                      <w:divsChild>
                        <w:div w:id="14468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hsreps.cmail20.com/t/t-l-hyhdlyd-dljttyuu-tl/" TargetMode="External"/><Relationship Id="rId13" Type="http://schemas.openxmlformats.org/officeDocument/2006/relationships/hyperlink" Target="http://ohsreps.cmail20.com/t/t-l-hyhdlyd-dljttyuu-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hsreps.cmail20.com/t/t-l-hyhdlyd-dljttyuu-ju/" TargetMode="External"/><Relationship Id="rId12" Type="http://schemas.openxmlformats.org/officeDocument/2006/relationships/hyperlink" Target="http://ohsreps.cmail20.com/t/t-l-hyhdlyd-dljttyuu-ij/" TargetMode="External"/><Relationship Id="rId17" Type="http://schemas.openxmlformats.org/officeDocument/2006/relationships/hyperlink" Target="http://ohsreps.cmail20.com/t/t-l-hyhdlyd-dljttyuu-dt/" TargetMode="External"/><Relationship Id="rId2" Type="http://schemas.openxmlformats.org/officeDocument/2006/relationships/styles" Target="styles.xml"/><Relationship Id="rId16" Type="http://schemas.openxmlformats.org/officeDocument/2006/relationships/hyperlink" Target="http://ohsreps.cmail20.com/t/t-l-hyhdlyd-dljttyuu-dj/" TargetMode="External"/><Relationship Id="rId1" Type="http://schemas.openxmlformats.org/officeDocument/2006/relationships/numbering" Target="numbering.xml"/><Relationship Id="rId6" Type="http://schemas.openxmlformats.org/officeDocument/2006/relationships/hyperlink" Target="http://ohsreps.cmail20.com/t/t-l-hyhdlyd-dljttyuu-jk/" TargetMode="External"/><Relationship Id="rId11" Type="http://schemas.openxmlformats.org/officeDocument/2006/relationships/hyperlink" Target="http://ohsreps.cmail20.com/t/t-l-hyhdlyd-dljttyuu-tt/" TargetMode="External"/><Relationship Id="rId5" Type="http://schemas.openxmlformats.org/officeDocument/2006/relationships/webSettings" Target="webSettings.xml"/><Relationship Id="rId15" Type="http://schemas.openxmlformats.org/officeDocument/2006/relationships/hyperlink" Target="http://ohsreps.cmail20.com/t/t-l-hyhdlyd-dljttyuu-dy/" TargetMode="External"/><Relationship Id="rId10" Type="http://schemas.openxmlformats.org/officeDocument/2006/relationships/hyperlink" Target="http://ohsreps.cmail20.com/t/t-l-hyhdlyd-dljttyuu-t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hsreps.cmail20.com/t/t-l-hyhdlyd-dljttyuu-tr/" TargetMode="External"/><Relationship Id="rId14" Type="http://schemas.openxmlformats.org/officeDocument/2006/relationships/hyperlink" Target="http://ohsreps.cmail20.com/t/t-l-hyhdlyd-dljttyuu-d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1470</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2016-09-23T12:01:00Z</dcterms:created>
  <dcterms:modified xsi:type="dcterms:W3CDTF">2016-09-23T12:26:00Z</dcterms:modified>
</cp:coreProperties>
</file>