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5FF" w:rsidRDefault="00CB35FF"/>
    <w:p w:rsidR="00CB35FF" w:rsidRDefault="00CB35FF"/>
    <w:tbl>
      <w:tblPr>
        <w:tblStyle w:val="Tabelacomgrade"/>
        <w:tblpPr w:leftFromText="141" w:rightFromText="141" w:vertAnchor="text" w:horzAnchor="margin" w:tblpX="-1145" w:tblpY="-471"/>
        <w:tblW w:w="1091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47"/>
        <w:gridCol w:w="1984"/>
        <w:gridCol w:w="998"/>
        <w:gridCol w:w="1129"/>
        <w:gridCol w:w="1984"/>
        <w:gridCol w:w="2274"/>
      </w:tblGrid>
      <w:tr w:rsidR="00971734" w:rsidTr="001515FA">
        <w:trPr>
          <w:trHeight w:val="1550"/>
        </w:trPr>
        <w:tc>
          <w:tcPr>
            <w:tcW w:w="2547" w:type="dxa"/>
            <w:tcBorders>
              <w:top w:val="single" w:sz="4" w:space="0" w:color="auto"/>
              <w:left w:val="single" w:sz="4" w:space="0" w:color="auto"/>
              <w:bottom w:val="single" w:sz="2" w:space="0" w:color="FFFFFF" w:themeColor="background1"/>
            </w:tcBorders>
            <w:vAlign w:val="center"/>
          </w:tcPr>
          <w:p w:rsidR="00CB35FF" w:rsidRPr="004E3A7D" w:rsidRDefault="00CB35FF" w:rsidP="00CB35FF">
            <w:pPr>
              <w:shd w:val="clear" w:color="auto" w:fill="FFFFFF"/>
              <w:jc w:val="center"/>
              <w:rPr>
                <w:rFonts w:ascii="Calibri" w:hAnsi="Calibri"/>
                <w:b/>
                <w:szCs w:val="24"/>
              </w:rPr>
            </w:pPr>
            <w:r>
              <w:rPr>
                <w:rFonts w:ascii="Calibri" w:hAnsi="Calibri"/>
                <w:b/>
                <w:noProof/>
                <w:sz w:val="24"/>
                <w:szCs w:val="24"/>
                <w:lang w:eastAsia="pt-BR"/>
              </w:rPr>
              <w:drawing>
                <wp:inline distT="0" distB="0" distL="0" distR="0" wp14:anchorId="2510A5CE" wp14:editId="0AB59E97">
                  <wp:extent cx="1323975" cy="571500"/>
                  <wp:effectExtent l="0" t="0" r="9525" b="0"/>
                  <wp:docPr id="6" name="Imagem 6" descr="marcaHea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rcaHead-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571500"/>
                          </a:xfrm>
                          <a:prstGeom prst="rect">
                            <a:avLst/>
                          </a:prstGeom>
                          <a:noFill/>
                          <a:ln>
                            <a:noFill/>
                          </a:ln>
                        </pic:spPr>
                      </pic:pic>
                    </a:graphicData>
                  </a:graphic>
                </wp:inline>
              </w:drawing>
            </w:r>
          </w:p>
        </w:tc>
        <w:tc>
          <w:tcPr>
            <w:tcW w:w="1984" w:type="dxa"/>
            <w:tcBorders>
              <w:top w:val="single" w:sz="4" w:space="0" w:color="auto"/>
              <w:bottom w:val="single" w:sz="2" w:space="0" w:color="FFFFFF" w:themeColor="background1"/>
            </w:tcBorders>
            <w:vAlign w:val="center"/>
          </w:tcPr>
          <w:p w:rsidR="00CB35FF" w:rsidRPr="004E3A7D" w:rsidRDefault="00CB35FF" w:rsidP="00CB35FF">
            <w:pPr>
              <w:shd w:val="clear" w:color="auto" w:fill="FFFFFF"/>
              <w:jc w:val="center"/>
              <w:rPr>
                <w:rFonts w:ascii="Calibri" w:hAnsi="Calibri"/>
                <w:b/>
                <w:szCs w:val="24"/>
              </w:rPr>
            </w:pPr>
            <w:r>
              <w:rPr>
                <w:rFonts w:ascii="Calibri" w:hAnsi="Calibri"/>
                <w:noProof/>
                <w:lang w:eastAsia="pt-BR"/>
              </w:rPr>
              <w:drawing>
                <wp:inline distT="0" distB="0" distL="0" distR="0" wp14:anchorId="7491B6A8" wp14:editId="151946E4">
                  <wp:extent cx="723900" cy="723900"/>
                  <wp:effectExtent l="0" t="0" r="0" b="0"/>
                  <wp:docPr id="7" name="Imagem 7" descr="Logo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X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127" w:type="dxa"/>
            <w:gridSpan w:val="2"/>
            <w:tcBorders>
              <w:top w:val="single" w:sz="4" w:space="0" w:color="auto"/>
              <w:bottom w:val="single" w:sz="4" w:space="0" w:color="auto"/>
            </w:tcBorders>
            <w:vAlign w:val="center"/>
          </w:tcPr>
          <w:p w:rsidR="00CB35FF" w:rsidRPr="00C47DC3" w:rsidRDefault="00CB35FF" w:rsidP="00CB35FF">
            <w:pPr>
              <w:shd w:val="clear" w:color="auto" w:fill="FFFFFF"/>
              <w:tabs>
                <w:tab w:val="left" w:pos="2737"/>
              </w:tabs>
              <w:jc w:val="center"/>
              <w:rPr>
                <w:rFonts w:ascii="Calibri" w:hAnsi="Calibri"/>
                <w:noProof/>
              </w:rPr>
            </w:pPr>
            <w:r>
              <w:rPr>
                <w:rFonts w:ascii="Calibri" w:hAnsi="Calibri"/>
                <w:noProof/>
                <w:lang w:eastAsia="pt-BR"/>
              </w:rPr>
              <w:drawing>
                <wp:inline distT="0" distB="0" distL="0" distR="0" wp14:anchorId="05C1560C" wp14:editId="650ECD32">
                  <wp:extent cx="828675" cy="611641"/>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611641"/>
                          </a:xfrm>
                          <a:prstGeom prst="rect">
                            <a:avLst/>
                          </a:prstGeom>
                          <a:noFill/>
                          <a:ln>
                            <a:noFill/>
                          </a:ln>
                        </pic:spPr>
                      </pic:pic>
                    </a:graphicData>
                  </a:graphic>
                </wp:inline>
              </w:drawing>
            </w:r>
          </w:p>
          <w:p w:rsidR="00CB35FF" w:rsidRPr="00C47DC3" w:rsidRDefault="00CB35FF" w:rsidP="00CB35FF">
            <w:pPr>
              <w:shd w:val="clear" w:color="auto" w:fill="FFFFFF"/>
              <w:tabs>
                <w:tab w:val="left" w:pos="2737"/>
              </w:tabs>
              <w:jc w:val="center"/>
              <w:rPr>
                <w:rFonts w:ascii="Cambria" w:eastAsia="Arial Unicode MS" w:hAnsi="Cambria" w:cs="Arial Unicode MS"/>
                <w:b/>
                <w:sz w:val="16"/>
              </w:rPr>
            </w:pPr>
            <w:r w:rsidRPr="00C47DC3">
              <w:rPr>
                <w:rFonts w:ascii="Cambria" w:eastAsia="Arial Unicode MS" w:hAnsi="Cambria" w:cs="Arial Unicode MS"/>
                <w:b/>
                <w:sz w:val="16"/>
              </w:rPr>
              <w:t>UNIVERSIDADE DE SÃO PAULO</w:t>
            </w:r>
          </w:p>
          <w:p w:rsidR="00CB35FF" w:rsidRPr="00BE6A2B" w:rsidRDefault="00CB35FF" w:rsidP="00CB35FF">
            <w:pPr>
              <w:shd w:val="clear" w:color="auto" w:fill="FFFFFF"/>
              <w:tabs>
                <w:tab w:val="left" w:pos="2737"/>
              </w:tabs>
              <w:jc w:val="center"/>
              <w:rPr>
                <w:rFonts w:ascii="Cambria" w:eastAsia="Arial Unicode MS" w:hAnsi="Cambria" w:cs="Arial Unicode MS"/>
                <w:b/>
                <w:sz w:val="16"/>
              </w:rPr>
            </w:pPr>
            <w:r>
              <w:rPr>
                <w:rFonts w:ascii="Cambria" w:eastAsia="Arial Unicode MS" w:hAnsi="Cambria" w:cs="Arial Unicode MS"/>
                <w:b/>
                <w:sz w:val="16"/>
              </w:rPr>
              <w:t>Faculdade de Saúde Pública</w:t>
            </w:r>
          </w:p>
        </w:tc>
        <w:tc>
          <w:tcPr>
            <w:tcW w:w="1984" w:type="dxa"/>
            <w:tcBorders>
              <w:top w:val="single" w:sz="4" w:space="0" w:color="auto"/>
              <w:bottom w:val="single" w:sz="4" w:space="0" w:color="auto"/>
            </w:tcBorders>
            <w:vAlign w:val="center"/>
          </w:tcPr>
          <w:p w:rsidR="00CB35FF" w:rsidRPr="004E3A7D" w:rsidRDefault="00CB35FF" w:rsidP="00CB35FF">
            <w:pPr>
              <w:shd w:val="clear" w:color="auto" w:fill="FFFFFF"/>
              <w:jc w:val="center"/>
              <w:rPr>
                <w:rFonts w:ascii="Calibri" w:hAnsi="Calibri"/>
                <w:b/>
                <w:szCs w:val="24"/>
              </w:rPr>
            </w:pPr>
            <w:r>
              <w:rPr>
                <w:noProof/>
                <w:lang w:eastAsia="pt-BR"/>
              </w:rPr>
              <w:drawing>
                <wp:inline distT="0" distB="0" distL="0" distR="0" wp14:anchorId="03E2D1E8" wp14:editId="2F9B637C">
                  <wp:extent cx="952500" cy="466725"/>
                  <wp:effectExtent l="0" t="0" r="0" b="9525"/>
                  <wp:docPr id="10" name="Imagem 10" descr="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P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66725"/>
                          </a:xfrm>
                          <a:prstGeom prst="rect">
                            <a:avLst/>
                          </a:prstGeom>
                          <a:noFill/>
                          <a:ln>
                            <a:noFill/>
                          </a:ln>
                        </pic:spPr>
                      </pic:pic>
                    </a:graphicData>
                  </a:graphic>
                </wp:inline>
              </w:drawing>
            </w:r>
          </w:p>
        </w:tc>
        <w:tc>
          <w:tcPr>
            <w:tcW w:w="2274" w:type="dxa"/>
            <w:tcBorders>
              <w:top w:val="single" w:sz="4" w:space="0" w:color="auto"/>
              <w:bottom w:val="single" w:sz="4" w:space="0" w:color="auto"/>
              <w:right w:val="single" w:sz="4" w:space="0" w:color="auto"/>
            </w:tcBorders>
            <w:vAlign w:val="center"/>
          </w:tcPr>
          <w:p w:rsidR="00CB35FF" w:rsidRPr="004E3A7D" w:rsidRDefault="00CB35FF" w:rsidP="00CB35FF">
            <w:pPr>
              <w:shd w:val="clear" w:color="auto" w:fill="FFFFFF"/>
              <w:jc w:val="center"/>
              <w:rPr>
                <w:rFonts w:ascii="Calibri" w:hAnsi="Calibri"/>
                <w:b/>
                <w:szCs w:val="24"/>
              </w:rPr>
            </w:pPr>
            <w:r>
              <w:rPr>
                <w:noProof/>
              </w:rPr>
              <w:drawing>
                <wp:inline distT="0" distB="0" distL="0" distR="0" wp14:anchorId="77445A58" wp14:editId="144ADB0E">
                  <wp:extent cx="1300239" cy="573206"/>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8688" cy="660692"/>
                          </a:xfrm>
                          <a:prstGeom prst="rect">
                            <a:avLst/>
                          </a:prstGeom>
                          <a:noFill/>
                          <a:ln>
                            <a:noFill/>
                          </a:ln>
                        </pic:spPr>
                      </pic:pic>
                    </a:graphicData>
                  </a:graphic>
                </wp:inline>
              </w:drawing>
            </w:r>
            <w:r>
              <w:rPr>
                <w:noProof/>
              </w:rPr>
              <w:drawing>
                <wp:anchor distT="0" distB="0" distL="114300" distR="114300" simplePos="0" relativeHeight="251659264" behindDoc="0" locked="0" layoutInCell="1" allowOverlap="1" wp14:anchorId="16C26FF2" wp14:editId="3C4D51CF">
                  <wp:simplePos x="0" y="0"/>
                  <wp:positionH relativeFrom="column">
                    <wp:posOffset>3975100</wp:posOffset>
                  </wp:positionH>
                  <wp:positionV relativeFrom="paragraph">
                    <wp:posOffset>348615</wp:posOffset>
                  </wp:positionV>
                  <wp:extent cx="2954655" cy="805180"/>
                  <wp:effectExtent l="0" t="0" r="0" b="0"/>
                  <wp:wrapNone/>
                  <wp:docPr id="2" name="Imagem 2" descr="logo CVSEST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VSEST MEM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4655" cy="8051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733D0" w:rsidTr="005733D0">
        <w:tc>
          <w:tcPr>
            <w:tcW w:w="10916" w:type="dxa"/>
            <w:gridSpan w:val="6"/>
            <w:tcBorders>
              <w:top w:val="single" w:sz="4" w:space="0" w:color="auto"/>
            </w:tcBorders>
            <w:shd w:val="clear" w:color="auto" w:fill="F7CAAC" w:themeFill="accent2" w:themeFillTint="66"/>
          </w:tcPr>
          <w:p w:rsidR="00CB35FF" w:rsidRPr="006039E7" w:rsidRDefault="00CB35FF" w:rsidP="005733D0">
            <w:pPr>
              <w:shd w:val="clear" w:color="auto" w:fill="F7CAAC" w:themeFill="accent2" w:themeFillTint="66"/>
              <w:jc w:val="center"/>
              <w:rPr>
                <w:rFonts w:ascii="Calibri" w:hAnsi="Calibri"/>
                <w:b/>
                <w:sz w:val="28"/>
                <w:szCs w:val="24"/>
              </w:rPr>
            </w:pPr>
            <w:r w:rsidRPr="006039E7">
              <w:rPr>
                <w:rFonts w:ascii="Calibri" w:hAnsi="Calibri"/>
                <w:b/>
                <w:sz w:val="28"/>
                <w:szCs w:val="24"/>
              </w:rPr>
              <w:t>69º Encontro Presencial do fórum Acidentes do Trabalho</w:t>
            </w:r>
          </w:p>
          <w:p w:rsidR="00CB35FF" w:rsidRDefault="00CB35FF" w:rsidP="005733D0">
            <w:pPr>
              <w:shd w:val="clear" w:color="auto" w:fill="F7CAAC" w:themeFill="accent2" w:themeFillTint="66"/>
              <w:jc w:val="center"/>
            </w:pPr>
            <w:r w:rsidRPr="006039E7">
              <w:rPr>
                <w:rFonts w:ascii="Calibri" w:hAnsi="Calibri"/>
                <w:b/>
                <w:sz w:val="24"/>
                <w:szCs w:val="24"/>
              </w:rPr>
              <w:t xml:space="preserve">Tema: </w:t>
            </w:r>
            <w:r w:rsidRPr="006039E7">
              <w:rPr>
                <w:b/>
                <w:sz w:val="24"/>
              </w:rPr>
              <w:t xml:space="preserve">Serviços de Saneamento e Acidentes de Trabalho. Desafios para a </w:t>
            </w:r>
            <w:r>
              <w:rPr>
                <w:b/>
                <w:sz w:val="24"/>
              </w:rPr>
              <w:t>V</w:t>
            </w:r>
            <w:r w:rsidRPr="006039E7">
              <w:rPr>
                <w:b/>
                <w:sz w:val="24"/>
              </w:rPr>
              <w:t>igilância em Saúde do Trabalhador</w:t>
            </w:r>
          </w:p>
        </w:tc>
      </w:tr>
      <w:tr w:rsidR="00971734" w:rsidTr="001515FA">
        <w:tc>
          <w:tcPr>
            <w:tcW w:w="5529" w:type="dxa"/>
            <w:gridSpan w:val="3"/>
            <w:tcBorders>
              <w:top w:val="single" w:sz="18" w:space="0" w:color="FFFFFF" w:themeColor="background1"/>
              <w:bottom w:val="single" w:sz="18" w:space="0" w:color="FFFFFF" w:themeColor="background1"/>
              <w:right w:val="single" w:sz="18" w:space="0" w:color="FFFFFF" w:themeColor="background1"/>
            </w:tcBorders>
            <w:shd w:val="clear" w:color="auto" w:fill="F4B083" w:themeFill="accent2" w:themeFillTint="99"/>
          </w:tcPr>
          <w:p w:rsidR="00CB35FF" w:rsidRDefault="00CB35FF" w:rsidP="00971734">
            <w:pPr>
              <w:pStyle w:val="NormalWeb"/>
              <w:shd w:val="clear" w:color="auto" w:fill="F4B083" w:themeFill="accent2" w:themeFillTint="99"/>
              <w:spacing w:before="0" w:beforeAutospacing="0" w:afterAutospacing="0"/>
              <w:jc w:val="both"/>
              <w:rPr>
                <w:rFonts w:ascii="Calibri" w:hAnsi="Calibri" w:cs="Calibri"/>
                <w:color w:val="000000"/>
                <w:sz w:val="22"/>
                <w:szCs w:val="22"/>
              </w:rPr>
            </w:pPr>
            <w:r>
              <w:rPr>
                <w:rFonts w:ascii="Calibri" w:hAnsi="Calibri" w:cs="Calibri"/>
                <w:color w:val="000000"/>
                <w:sz w:val="22"/>
                <w:szCs w:val="22"/>
              </w:rPr>
              <w:t xml:space="preserve">Os ambientes e condições de trabalho em sistemas de saneamento têm merecido a atenção dos técnicos de vigilância sanitária, uma vez que essas instalações são objeto de inspeções e de licenciamento sanitário. A experiência pioneira do Grupo de Vigilância Sanitária de Santos mostra a relevância de incluir aspectos associados à saúde dos trabalhadores de Sistemas de Abastecimento de Água quando das inspeções realizadas nas captações, Estações de Tratamento de </w:t>
            </w:r>
            <w:r w:rsidRPr="004270DD">
              <w:rPr>
                <w:rFonts w:ascii="Calibri" w:hAnsi="Calibri" w:cs="Calibri"/>
                <w:color w:val="000000"/>
                <w:sz w:val="22"/>
                <w:szCs w:val="22"/>
              </w:rPr>
              <w:t xml:space="preserve">Água (ETA) e reservatórios. </w:t>
            </w:r>
          </w:p>
          <w:p w:rsidR="00CB35FF" w:rsidRDefault="00CB35FF" w:rsidP="00971734">
            <w:pPr>
              <w:pStyle w:val="NormalWeb"/>
              <w:shd w:val="clear" w:color="auto" w:fill="F4B083" w:themeFill="accent2" w:themeFillTint="99"/>
              <w:spacing w:before="0" w:beforeAutospacing="0" w:afterAutospacing="0"/>
              <w:jc w:val="both"/>
              <w:rPr>
                <w:rFonts w:ascii="Calibri" w:hAnsi="Calibri" w:cs="Calibri"/>
                <w:color w:val="000000"/>
                <w:sz w:val="22"/>
                <w:szCs w:val="22"/>
              </w:rPr>
            </w:pPr>
            <w:r w:rsidRPr="004270DD">
              <w:rPr>
                <w:rFonts w:ascii="Calibri" w:hAnsi="Calibri" w:cs="Calibri"/>
                <w:color w:val="000000"/>
                <w:sz w:val="22"/>
                <w:szCs w:val="22"/>
              </w:rPr>
              <w:t>Entretanto, dados sobre Acidentes de Trabalho mostram que eventos com esses trabalhadores são relevantes, sobretudo se considerada a gravidade.</w:t>
            </w:r>
            <w:r>
              <w:rPr>
                <w:rFonts w:ascii="Calibri" w:hAnsi="Calibri" w:cs="Calibri"/>
                <w:color w:val="000000"/>
                <w:sz w:val="22"/>
                <w:szCs w:val="22"/>
              </w:rPr>
              <w:t xml:space="preserve"> Além de sequelas associadas a quedas e intoxicações, há registros de acidentes fatais devido a traumas, afogamento e soterramento.</w:t>
            </w:r>
          </w:p>
          <w:p w:rsidR="00CB35FF" w:rsidRDefault="00CB35FF" w:rsidP="00CB35FF">
            <w:pPr>
              <w:jc w:val="both"/>
            </w:pPr>
            <w:r>
              <w:rPr>
                <w:rFonts w:ascii="Calibri" w:hAnsi="Calibri" w:cs="Calibri"/>
                <w:color w:val="000000"/>
              </w:rPr>
              <w:t>O</w:t>
            </w:r>
            <w:r w:rsidRPr="000719A7">
              <w:rPr>
                <w:rFonts w:ascii="Calibri" w:hAnsi="Calibri" w:cs="Calibri"/>
                <w:color w:val="000000"/>
              </w:rPr>
              <w:t xml:space="preserve"> 69º Encontro Presencial do Fórum Acidentes do Trabalho, </w:t>
            </w:r>
            <w:r>
              <w:rPr>
                <w:rFonts w:ascii="Calibri" w:hAnsi="Calibri" w:cs="Calibri"/>
                <w:color w:val="000000"/>
              </w:rPr>
              <w:t>promovido pela Faculdade de Saúde Pública, UNESP Botucatu e o Centro de Vigilância Sanitária,</w:t>
            </w:r>
            <w:r w:rsidRPr="000719A7">
              <w:rPr>
                <w:rFonts w:ascii="Calibri" w:hAnsi="Calibri" w:cs="Calibri"/>
                <w:color w:val="000000"/>
              </w:rPr>
              <w:t xml:space="preserve"> abordará esse assunto sob a ótica das tensões inerentes à</w:t>
            </w:r>
            <w:r>
              <w:rPr>
                <w:rFonts w:ascii="Calibri" w:hAnsi="Calibri" w:cs="Calibri"/>
                <w:color w:val="000000"/>
              </w:rPr>
              <w:t xml:space="preserve"> </w:t>
            </w:r>
            <w:r w:rsidRPr="000719A7">
              <w:rPr>
                <w:rFonts w:ascii="Calibri" w:hAnsi="Calibri" w:cs="Calibri"/>
                <w:color w:val="000000"/>
              </w:rPr>
              <w:t>prestação de</w:t>
            </w:r>
          </w:p>
        </w:tc>
        <w:tc>
          <w:tcPr>
            <w:tcW w:w="5387" w:type="dxa"/>
            <w:gridSpan w:val="3"/>
            <w:tcBorders>
              <w:top w:val="single" w:sz="18" w:space="0" w:color="FFFFFF" w:themeColor="background1"/>
              <w:left w:val="single" w:sz="18" w:space="0" w:color="FFFFFF" w:themeColor="background1"/>
              <w:bottom w:val="single" w:sz="18" w:space="0" w:color="FFFFFF" w:themeColor="background1"/>
            </w:tcBorders>
            <w:shd w:val="clear" w:color="auto" w:fill="F4B083" w:themeFill="accent2" w:themeFillTint="99"/>
          </w:tcPr>
          <w:p w:rsidR="00CB35FF" w:rsidRDefault="00CB35FF" w:rsidP="00971734">
            <w:pPr>
              <w:pStyle w:val="NormalWeb"/>
              <w:shd w:val="clear" w:color="auto" w:fill="F4B083" w:themeFill="accent2" w:themeFillTint="99"/>
              <w:spacing w:before="0" w:beforeAutospacing="0" w:afterAutospacing="0"/>
              <w:jc w:val="both"/>
              <w:rPr>
                <w:rFonts w:ascii="Calibri" w:hAnsi="Calibri" w:cs="Calibri"/>
                <w:color w:val="000000"/>
                <w:sz w:val="22"/>
                <w:szCs w:val="22"/>
              </w:rPr>
            </w:pPr>
            <w:r w:rsidRPr="000719A7">
              <w:rPr>
                <w:rFonts w:ascii="Calibri" w:hAnsi="Calibri" w:cs="Calibri"/>
                <w:color w:val="000000"/>
                <w:sz w:val="22"/>
                <w:szCs w:val="22"/>
              </w:rPr>
              <w:t>serviços essenciais à preservação do meio ambiente e à saúde da população e os fatores de risco à saúde a que</w:t>
            </w:r>
            <w:r>
              <w:rPr>
                <w:rFonts w:ascii="Calibri" w:hAnsi="Calibri" w:cs="Calibri"/>
                <w:color w:val="000000"/>
                <w:sz w:val="22"/>
                <w:szCs w:val="22"/>
              </w:rPr>
              <w:t xml:space="preserve"> </w:t>
            </w:r>
            <w:r w:rsidRPr="000719A7">
              <w:rPr>
                <w:rFonts w:ascii="Calibri" w:hAnsi="Calibri" w:cs="Calibri"/>
                <w:color w:val="000000"/>
                <w:sz w:val="22"/>
                <w:szCs w:val="22"/>
              </w:rPr>
              <w:t>estão submetidos esses trabalhadores. Ênfase especial será dada ao papel da vigilância sanitária nesse contexto</w:t>
            </w:r>
            <w:r>
              <w:rPr>
                <w:rFonts w:ascii="Calibri" w:hAnsi="Calibri" w:cs="Calibri"/>
                <w:color w:val="000000"/>
                <w:sz w:val="22"/>
                <w:szCs w:val="22"/>
              </w:rPr>
              <w:t>.</w:t>
            </w:r>
          </w:p>
          <w:p w:rsidR="00CB35FF" w:rsidRDefault="00CB35FF" w:rsidP="00971734">
            <w:pPr>
              <w:pStyle w:val="NormalWeb"/>
              <w:shd w:val="clear" w:color="auto" w:fill="F4B083" w:themeFill="accent2" w:themeFillTint="99"/>
              <w:spacing w:before="0" w:beforeAutospacing="0" w:afterAutospacing="0"/>
              <w:jc w:val="both"/>
              <w:rPr>
                <w:rFonts w:ascii="Calibri" w:hAnsi="Calibri" w:cs="Calibri"/>
                <w:color w:val="000000"/>
              </w:rPr>
            </w:pPr>
            <w:r>
              <w:rPr>
                <w:rFonts w:ascii="Calibri" w:hAnsi="Calibri" w:cs="Calibri"/>
                <w:color w:val="000000"/>
                <w:sz w:val="22"/>
                <w:szCs w:val="22"/>
              </w:rPr>
              <w:t>A programação prevê, pela manhã, a realização de oficinas com o objetivo de discutir e aprimorar as metodologias de análise de acidentes como estratégia de Vigilância em Saúde do Trabalhador. Os participantes serão divididos em três grupos. Cada grupo discutirá um caso de acidente de trabalho em serviços de saneamento, contando com o apoio de um facilitador.</w:t>
            </w:r>
          </w:p>
          <w:p w:rsidR="00CB35FF" w:rsidRPr="00DA6DCF" w:rsidRDefault="00CB35FF" w:rsidP="00CB35FF">
            <w:pPr>
              <w:jc w:val="both"/>
              <w:rPr>
                <w:rFonts w:ascii="Calibri" w:hAnsi="Calibri" w:cs="Calibri"/>
              </w:rPr>
            </w:pPr>
            <w:r>
              <w:rPr>
                <w:rFonts w:ascii="Calibri" w:hAnsi="Calibri" w:cs="Calibri"/>
                <w:color w:val="000000"/>
              </w:rPr>
              <w:t>Após o almoço, haverá uma sessão plenária para apresentação dos produtos alcançados pelos grupos nas oficinas, precedida de dois breves comunicados sobre o panorama dos acidentes de trabalho nos Estado de São Paulo e a inserção de aspectos relacionados à saúde dos trabalhadores no roteiro de inspeção de Unidades de Tratamento de Água.</w:t>
            </w:r>
          </w:p>
        </w:tc>
      </w:tr>
      <w:tr w:rsidR="00CB35FF" w:rsidTr="00971734">
        <w:tc>
          <w:tcPr>
            <w:tcW w:w="10916" w:type="dxa"/>
            <w:gridSpan w:val="6"/>
            <w:tcBorders>
              <w:bottom w:val="single" w:sz="24" w:space="0" w:color="FFFFFF" w:themeColor="background1"/>
            </w:tcBorders>
            <w:shd w:val="clear" w:color="auto" w:fill="auto"/>
          </w:tcPr>
          <w:p w:rsidR="00CB35FF" w:rsidRPr="00B670D0" w:rsidRDefault="00CB35FF" w:rsidP="00CB35FF">
            <w:pPr>
              <w:jc w:val="center"/>
              <w:rPr>
                <w:rFonts w:ascii="Garamond" w:hAnsi="Garamond" w:cs="Calibri"/>
                <w:b/>
                <w:sz w:val="28"/>
              </w:rPr>
            </w:pPr>
            <w:r w:rsidRPr="00B670D0">
              <w:rPr>
                <w:rFonts w:ascii="Garamond" w:hAnsi="Garamond" w:cs="Calibri"/>
                <w:b/>
                <w:sz w:val="28"/>
              </w:rPr>
              <w:t>Dia 6 de junho de 2019</w:t>
            </w:r>
          </w:p>
          <w:p w:rsidR="00CB35FF" w:rsidRDefault="00CB35FF" w:rsidP="00CB35FF">
            <w:r w:rsidRPr="00B670D0">
              <w:rPr>
                <w:rFonts w:ascii="Garamond" w:hAnsi="Garamond"/>
                <w:sz w:val="24"/>
                <w:szCs w:val="24"/>
              </w:rPr>
              <w:t xml:space="preserve">Local: </w:t>
            </w:r>
            <w:r w:rsidRPr="00B670D0">
              <w:t xml:space="preserve">Auditório Paula Souza - Faculdade de Saúde Pública da USP, térreo – Avenida Dr. Arnaldo, 715 – Cerqueira César, São Paulo – </w:t>
            </w:r>
            <w:r w:rsidRPr="002F0314">
              <w:rPr>
                <w:rFonts w:cstheme="minorHAnsi"/>
              </w:rPr>
              <w:t>SP (próximo ao Metrô Clinicas)</w:t>
            </w:r>
            <w:r w:rsidRPr="00B670D0">
              <w:rPr>
                <w:rFonts w:ascii="Garamond" w:hAnsi="Garamond"/>
                <w:sz w:val="24"/>
                <w:szCs w:val="24"/>
              </w:rPr>
              <w:t xml:space="preserve"> Horário: das 8h30 às 17h00</w:t>
            </w:r>
            <w:r w:rsidR="00E64674">
              <w:rPr>
                <w:rFonts w:ascii="Garamond" w:hAnsi="Garamond"/>
                <w:sz w:val="24"/>
                <w:szCs w:val="24"/>
              </w:rPr>
              <w:t xml:space="preserve">. Inscrições: </w:t>
            </w:r>
            <w:hyperlink r:id="rId11" w:history="1">
              <w:r w:rsidR="00E64674">
                <w:rPr>
                  <w:rStyle w:val="Hyperlink"/>
                </w:rPr>
                <w:t>https://www.fsp.usp.br</w:t>
              </w:r>
            </w:hyperlink>
            <w:r w:rsidR="00E64674">
              <w:t xml:space="preserve"> </w:t>
            </w:r>
            <w:bookmarkStart w:id="0" w:name="_GoBack"/>
            <w:bookmarkEnd w:id="0"/>
          </w:p>
        </w:tc>
      </w:tr>
      <w:tr w:rsidR="005733D0" w:rsidTr="005733D0">
        <w:trPr>
          <w:trHeight w:val="87"/>
        </w:trPr>
        <w:tc>
          <w:tcPr>
            <w:tcW w:w="10916" w:type="dxa"/>
            <w:gridSpan w:val="6"/>
            <w:tcBorders>
              <w:top w:val="single" w:sz="24" w:space="0" w:color="FFFFFF" w:themeColor="background1"/>
              <w:bottom w:val="single" w:sz="24" w:space="0" w:color="FFFFFF" w:themeColor="background1"/>
            </w:tcBorders>
            <w:shd w:val="clear" w:color="auto" w:fill="F7CAAC" w:themeFill="accent2" w:themeFillTint="66"/>
          </w:tcPr>
          <w:p w:rsidR="00CB35FF" w:rsidRPr="00B075BB" w:rsidRDefault="00CB35FF" w:rsidP="00CB35FF">
            <w:pPr>
              <w:jc w:val="both"/>
              <w:rPr>
                <w:b/>
              </w:rPr>
            </w:pPr>
            <w:r w:rsidRPr="00B075BB">
              <w:rPr>
                <w:b/>
              </w:rPr>
              <w:t>PROGRAMA</w:t>
            </w:r>
          </w:p>
          <w:p w:rsidR="00CB35FF" w:rsidRPr="00AA3A20" w:rsidRDefault="00CB35FF" w:rsidP="00CB35FF">
            <w:pPr>
              <w:jc w:val="both"/>
            </w:pPr>
            <w:r>
              <w:t>8</w:t>
            </w:r>
            <w:r w:rsidRPr="00AA3A20">
              <w:t xml:space="preserve">:30 às 9:00 – </w:t>
            </w:r>
            <w:r w:rsidRPr="006829EF">
              <w:rPr>
                <w:b/>
                <w:sz w:val="20"/>
                <w:szCs w:val="20"/>
              </w:rPr>
              <w:t>COFFEE</w:t>
            </w:r>
          </w:p>
          <w:p w:rsidR="00CB35FF" w:rsidRPr="00AA3A20" w:rsidRDefault="00CB35FF" w:rsidP="00CB35FF">
            <w:pPr>
              <w:jc w:val="both"/>
            </w:pPr>
            <w:r w:rsidRPr="00AA3A20">
              <w:t xml:space="preserve">9:00 às 12:00 – </w:t>
            </w:r>
            <w:r w:rsidRPr="006829EF">
              <w:rPr>
                <w:b/>
              </w:rPr>
              <w:t>OFICINA DE TRABALHO</w:t>
            </w:r>
          </w:p>
          <w:p w:rsidR="00CB35FF" w:rsidRPr="00AA3A20" w:rsidRDefault="00CB35FF" w:rsidP="00CB35FF">
            <w:pPr>
              <w:jc w:val="both"/>
            </w:pPr>
            <w:r w:rsidRPr="00AA3A20">
              <w:t xml:space="preserve">12:00 às 13:30 – </w:t>
            </w:r>
            <w:r w:rsidRPr="006829EF">
              <w:rPr>
                <w:b/>
              </w:rPr>
              <w:t>INTERVALO PARA ALMOÇO</w:t>
            </w:r>
            <w:r w:rsidRPr="00AA3A20">
              <w:t xml:space="preserve"> </w:t>
            </w:r>
          </w:p>
          <w:p w:rsidR="00CB35FF" w:rsidRPr="00AA3A20" w:rsidRDefault="00CB35FF" w:rsidP="00CB35FF">
            <w:pPr>
              <w:jc w:val="both"/>
            </w:pPr>
            <w:r w:rsidRPr="00AA3A20">
              <w:t xml:space="preserve">13:30 às 14h15 – </w:t>
            </w:r>
            <w:r w:rsidRPr="006829EF">
              <w:rPr>
                <w:b/>
              </w:rPr>
              <w:t>PLENÁRIA</w:t>
            </w:r>
          </w:p>
          <w:p w:rsidR="00CB35FF" w:rsidRPr="00AA3A20" w:rsidRDefault="00CB35FF" w:rsidP="00CB35FF">
            <w:pPr>
              <w:jc w:val="both"/>
            </w:pPr>
            <w:r w:rsidRPr="00AA3A20">
              <w:t xml:space="preserve">13:30 às 13:50 </w:t>
            </w:r>
            <w:r w:rsidRPr="006829EF">
              <w:rPr>
                <w:b/>
              </w:rPr>
              <w:t>Acidentes de trabalho nos serviços de saneamento: panorama geral</w:t>
            </w:r>
          </w:p>
          <w:p w:rsidR="00CB35FF" w:rsidRPr="00AA3A20" w:rsidRDefault="00CB35FF" w:rsidP="00CB35FF">
            <w:pPr>
              <w:ind w:left="708"/>
            </w:pPr>
            <w:r w:rsidRPr="00AA3A20">
              <w:t>Simone Alves dos Santos -Diretora Técnica de Saúde Divisão de Saúde do Trabalhador CVS/CCD/SES</w:t>
            </w:r>
            <w:r>
              <w:t>-</w:t>
            </w:r>
            <w:r w:rsidRPr="00AA3A20">
              <w:t>SP</w:t>
            </w:r>
          </w:p>
          <w:p w:rsidR="00CB35FF" w:rsidRPr="006829EF" w:rsidRDefault="00CB35FF" w:rsidP="00CB35FF">
            <w:pPr>
              <w:jc w:val="both"/>
              <w:rPr>
                <w:b/>
              </w:rPr>
            </w:pPr>
            <w:r w:rsidRPr="00AA3A20">
              <w:t xml:space="preserve">13:50 às 14:10 </w:t>
            </w:r>
            <w:r w:rsidRPr="006829EF">
              <w:rPr>
                <w:b/>
              </w:rPr>
              <w:t xml:space="preserve">Caracterização </w:t>
            </w:r>
            <w:r>
              <w:rPr>
                <w:b/>
              </w:rPr>
              <w:t>sanitária</w:t>
            </w:r>
            <w:r w:rsidRPr="006829EF">
              <w:rPr>
                <w:b/>
              </w:rPr>
              <w:t xml:space="preserve"> nas Estações de Tratamento de Água</w:t>
            </w:r>
          </w:p>
          <w:p w:rsidR="00CB35FF" w:rsidRPr="00AA3A20" w:rsidRDefault="00CB35FF" w:rsidP="00CB35FF">
            <w:pPr>
              <w:ind w:left="708"/>
            </w:pPr>
            <w:r w:rsidRPr="00AA3A20">
              <w:t>Rubens José Mario Junior-Diretor Técnico de Saúde –Divisão de Meio Ambiente CVS/CCD/SES</w:t>
            </w:r>
            <w:r>
              <w:t>-</w:t>
            </w:r>
            <w:r w:rsidRPr="00AA3A20">
              <w:t>SP</w:t>
            </w:r>
          </w:p>
          <w:p w:rsidR="00CB35FF" w:rsidRPr="00AA3A20" w:rsidRDefault="00CB35FF" w:rsidP="00CB35FF">
            <w:pPr>
              <w:jc w:val="both"/>
            </w:pPr>
            <w:r w:rsidRPr="00AA3A20">
              <w:t>14:10 às</w:t>
            </w:r>
            <w:r>
              <w:t xml:space="preserve"> 15:20 </w:t>
            </w:r>
            <w:r w:rsidRPr="00AA3A20">
              <w:t xml:space="preserve">  </w:t>
            </w:r>
            <w:r w:rsidRPr="006829EF">
              <w:rPr>
                <w:b/>
              </w:rPr>
              <w:t>Apresentação de Casos de Acidentes de Trabalho em Serviços de Saneamento</w:t>
            </w:r>
          </w:p>
          <w:p w:rsidR="00CB35FF" w:rsidRPr="006829EF" w:rsidRDefault="00CB35FF" w:rsidP="00CB35FF">
            <w:pPr>
              <w:ind w:left="708"/>
              <w:jc w:val="both"/>
              <w:rPr>
                <w:b/>
              </w:rPr>
            </w:pPr>
            <w:r w:rsidRPr="006829EF">
              <w:rPr>
                <w:b/>
              </w:rPr>
              <w:t>Acidente na atividade de limpeza e captação de água (Bertioga)</w:t>
            </w:r>
          </w:p>
          <w:p w:rsidR="00CB35FF" w:rsidRPr="00AA3A20" w:rsidRDefault="00CB35FF" w:rsidP="00CB35FF">
            <w:pPr>
              <w:ind w:left="708"/>
              <w:jc w:val="both"/>
            </w:pPr>
            <w:r w:rsidRPr="00AA3A20">
              <w:t>Luiz Antonio Dias Quitério – Grupo Regional de Vigilância Sanitária de Santos</w:t>
            </w:r>
            <w:r>
              <w:t xml:space="preserve"> CVS/CCD/SES-SP</w:t>
            </w:r>
          </w:p>
          <w:p w:rsidR="00CB35FF" w:rsidRPr="006829EF" w:rsidRDefault="00CB35FF" w:rsidP="00CB35FF">
            <w:pPr>
              <w:jc w:val="both"/>
              <w:rPr>
                <w:b/>
              </w:rPr>
            </w:pPr>
            <w:r w:rsidRPr="00AA3A20">
              <w:tab/>
            </w:r>
            <w:r w:rsidRPr="006829EF">
              <w:rPr>
                <w:b/>
              </w:rPr>
              <w:t>Soterramento em obra de remanejamento de esgoto (Sorocaba)</w:t>
            </w:r>
          </w:p>
          <w:p w:rsidR="00CB35FF" w:rsidRPr="00AA3A20" w:rsidRDefault="00CB35FF" w:rsidP="00CB35FF">
            <w:pPr>
              <w:ind w:left="708"/>
              <w:jc w:val="both"/>
            </w:pPr>
            <w:r>
              <w:t>Jéssica Maciel- Vigilância Sanitária de Sorocaba e Alexandro Pereira da Silva – CEREST de Sorocaba</w:t>
            </w:r>
          </w:p>
          <w:p w:rsidR="00CB35FF" w:rsidRPr="006829EF" w:rsidRDefault="00CB35FF" w:rsidP="00CB35FF">
            <w:pPr>
              <w:jc w:val="both"/>
              <w:rPr>
                <w:b/>
              </w:rPr>
            </w:pPr>
            <w:r w:rsidRPr="00AA3A20">
              <w:tab/>
            </w:r>
            <w:r w:rsidRPr="006829EF">
              <w:rPr>
                <w:b/>
              </w:rPr>
              <w:t>TCE decorrente de queda da mesma altura (Rio Claro)</w:t>
            </w:r>
          </w:p>
          <w:p w:rsidR="00CB35FF" w:rsidRPr="00AA3A20" w:rsidRDefault="00CB35FF" w:rsidP="00CB35FF">
            <w:pPr>
              <w:ind w:left="708"/>
              <w:jc w:val="both"/>
            </w:pPr>
            <w:r w:rsidRPr="00AA3A20">
              <w:t>Paulo Roberto Filho – CEREST</w:t>
            </w:r>
            <w:r>
              <w:t xml:space="preserve"> de</w:t>
            </w:r>
            <w:r w:rsidRPr="00AA3A20">
              <w:t xml:space="preserve"> Rio Claro</w:t>
            </w:r>
          </w:p>
          <w:p w:rsidR="00CB35FF" w:rsidRPr="00AA3A20" w:rsidRDefault="00CB35FF" w:rsidP="00CB35FF">
            <w:pPr>
              <w:jc w:val="both"/>
            </w:pPr>
            <w:r>
              <w:t>15:20 - Debate</w:t>
            </w:r>
          </w:p>
          <w:p w:rsidR="00CB35FF" w:rsidRDefault="00CB35FF" w:rsidP="00CB35FF">
            <w:r w:rsidRPr="00AA3A20">
              <w:t>1</w:t>
            </w:r>
            <w:r w:rsidR="002F0314">
              <w:t>7</w:t>
            </w:r>
            <w:r w:rsidRPr="00AA3A20">
              <w:t>:00 ENCERRAMENTO</w:t>
            </w:r>
            <w:r>
              <w:t xml:space="preserve"> E COFFEE</w:t>
            </w:r>
          </w:p>
        </w:tc>
      </w:tr>
      <w:tr w:rsidR="005733D0" w:rsidTr="00971734">
        <w:trPr>
          <w:trHeight w:val="87"/>
        </w:trPr>
        <w:tc>
          <w:tcPr>
            <w:tcW w:w="10916" w:type="dxa"/>
            <w:gridSpan w:val="6"/>
            <w:tcBorders>
              <w:top w:val="single" w:sz="24" w:space="0" w:color="FFFFFF" w:themeColor="background1"/>
              <w:bottom w:val="single" w:sz="24" w:space="0" w:color="FFFFFF" w:themeColor="background1"/>
            </w:tcBorders>
            <w:shd w:val="clear" w:color="auto" w:fill="auto"/>
          </w:tcPr>
          <w:p w:rsidR="005733D0" w:rsidRDefault="005733D0" w:rsidP="00CB35FF">
            <w:pPr>
              <w:jc w:val="both"/>
              <w:rPr>
                <w:b/>
              </w:rPr>
            </w:pPr>
            <w:r>
              <w:rPr>
                <w:b/>
              </w:rPr>
              <w:t>Organização: Fórum AT e Coordenação Estadual Saúde do Trabalhador CVS/CCD/SES-SP</w:t>
            </w:r>
          </w:p>
          <w:p w:rsidR="005733D0" w:rsidRPr="00B075BB" w:rsidRDefault="005733D0" w:rsidP="00CB35FF">
            <w:pPr>
              <w:jc w:val="both"/>
              <w:rPr>
                <w:b/>
              </w:rPr>
            </w:pPr>
            <w:r>
              <w:rPr>
                <w:b/>
              </w:rPr>
              <w:t>Apoio: Comissão de Cultura e Extensão da FSP-USP; PROEX-UNESP; DVST/CVS</w:t>
            </w:r>
            <w:r w:rsidR="00971734">
              <w:rPr>
                <w:b/>
              </w:rPr>
              <w:t>/CCD/SES-SP; Ministério Público do Trabalho da 15ª e 2ª Região.</w:t>
            </w:r>
          </w:p>
        </w:tc>
      </w:tr>
      <w:tr w:rsidR="00971734" w:rsidTr="00971734">
        <w:trPr>
          <w:trHeight w:val="87"/>
        </w:trPr>
        <w:tc>
          <w:tcPr>
            <w:tcW w:w="10916" w:type="dxa"/>
            <w:gridSpan w:val="6"/>
            <w:tcBorders>
              <w:top w:val="single" w:sz="24" w:space="0" w:color="FFFFFF" w:themeColor="background1"/>
              <w:bottom w:val="single" w:sz="24" w:space="0" w:color="FFFFFF" w:themeColor="background1"/>
            </w:tcBorders>
            <w:shd w:val="clear" w:color="auto" w:fill="auto"/>
          </w:tcPr>
          <w:p w:rsidR="00971734" w:rsidRDefault="00971734" w:rsidP="00CB35FF">
            <w:pPr>
              <w:jc w:val="both"/>
              <w:rPr>
                <w:b/>
              </w:rPr>
            </w:pPr>
            <w:r w:rsidRPr="00971734">
              <w:rPr>
                <w:rFonts w:ascii="Calibri" w:hAnsi="Calibri" w:cs="Calibri"/>
              </w:rPr>
              <w:t>Coordenação</w:t>
            </w:r>
            <w:r w:rsidRPr="00971734">
              <w:rPr>
                <w:rFonts w:ascii="Calibri" w:hAnsi="Calibri" w:cs="Calibri"/>
                <w:b/>
              </w:rPr>
              <w:t xml:space="preserve"> </w:t>
            </w:r>
            <w:r w:rsidRPr="00971734">
              <w:rPr>
                <w:rFonts w:ascii="Calibri" w:hAnsi="Calibri" w:cs="Calibri"/>
              </w:rPr>
              <w:t>do Fórum</w:t>
            </w:r>
            <w:r w:rsidRPr="00971734">
              <w:rPr>
                <w:rFonts w:ascii="Calibri" w:hAnsi="Calibri" w:cs="Calibri"/>
                <w:b/>
              </w:rPr>
              <w:t xml:space="preserve">: </w:t>
            </w:r>
            <w:proofErr w:type="spellStart"/>
            <w:r w:rsidRPr="00971734">
              <w:rPr>
                <w:rFonts w:ascii="Calibri" w:hAnsi="Calibri" w:cs="Calibri"/>
                <w:b/>
              </w:rPr>
              <w:t>Ildeberto</w:t>
            </w:r>
            <w:proofErr w:type="spellEnd"/>
            <w:r w:rsidRPr="00971734">
              <w:rPr>
                <w:rFonts w:ascii="Calibri" w:hAnsi="Calibri" w:cs="Calibri"/>
                <w:b/>
              </w:rPr>
              <w:t xml:space="preserve"> M Almeida (</w:t>
            </w:r>
            <w:hyperlink r:id="rId12" w:history="1">
              <w:r w:rsidRPr="00971734">
                <w:rPr>
                  <w:rStyle w:val="Hyperlink"/>
                  <w:rFonts w:ascii="Calibri" w:hAnsi="Calibri" w:cs="Calibri"/>
                  <w:b/>
                </w:rPr>
                <w:t>ialmeida@fmb.unesp.br</w:t>
              </w:r>
            </w:hyperlink>
            <w:r w:rsidRPr="00971734">
              <w:rPr>
                <w:rFonts w:ascii="Calibri" w:hAnsi="Calibri" w:cs="Calibri"/>
                <w:b/>
                <w:bCs/>
              </w:rPr>
              <w:t>) e Rodolfo</w:t>
            </w:r>
            <w:r w:rsidRPr="00971734">
              <w:rPr>
                <w:rFonts w:ascii="Calibri" w:hAnsi="Calibri" w:cs="Calibri"/>
                <w:b/>
              </w:rPr>
              <w:t xml:space="preserve"> AG Vilela (</w:t>
            </w:r>
            <w:hyperlink r:id="rId13" w:history="1">
              <w:r w:rsidRPr="00971734">
                <w:rPr>
                  <w:rStyle w:val="Hyperlink"/>
                  <w:rFonts w:ascii="Calibri" w:hAnsi="Calibri" w:cs="Calibri"/>
                  <w:b/>
                </w:rPr>
                <w:t>ravilela@usp.br</w:t>
              </w:r>
            </w:hyperlink>
            <w:r w:rsidRPr="00971734">
              <w:rPr>
                <w:rStyle w:val="Hyperlink"/>
                <w:rFonts w:ascii="Calibri" w:hAnsi="Calibri" w:cs="Calibri"/>
                <w:b/>
              </w:rPr>
              <w:t>)</w:t>
            </w:r>
          </w:p>
        </w:tc>
      </w:tr>
    </w:tbl>
    <w:p w:rsidR="00CB35FF" w:rsidRDefault="00CB35FF"/>
    <w:sectPr w:rsidR="00CB35FF" w:rsidSect="00CB35FF">
      <w:pgSz w:w="11906" w:h="16838"/>
      <w:pgMar w:top="142" w:right="1701"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5FF"/>
    <w:rsid w:val="001515FA"/>
    <w:rsid w:val="002F0314"/>
    <w:rsid w:val="00435B5D"/>
    <w:rsid w:val="004509DA"/>
    <w:rsid w:val="005733D0"/>
    <w:rsid w:val="00971734"/>
    <w:rsid w:val="00CB35FF"/>
    <w:rsid w:val="00E646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72EE2"/>
  <w15:chartTrackingRefBased/>
  <w15:docId w15:val="{02667CAF-34F2-4C6E-A1D9-B77F04F95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CB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B35F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CB35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ravilela@usp.br"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mailto:ialmeida@fmb.unesp.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www.fsp.usp.br/site/"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D0F39-B8E8-4341-BED7-08A5CF5D9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603</Words>
  <Characters>3258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Rosemairy Norye Inamine</dc:creator>
  <cp:keywords/>
  <dc:description/>
  <cp:lastModifiedBy>Rosemairy Norye Inamine</cp:lastModifiedBy>
  <cp:revision>4</cp:revision>
  <dcterms:created xsi:type="dcterms:W3CDTF">2019-05-15T14:37:00Z</dcterms:created>
  <dcterms:modified xsi:type="dcterms:W3CDTF">2019-05-15T17:00:00Z</dcterms:modified>
</cp:coreProperties>
</file>